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d3605140183c11e9a174b18b713fc6d4&amp;transitionType=Document&amp;originationContext=docHeaderFlag&amp;Rank=0&amp;ppcid=9c0c0e510a8e4ce8b0f923e9c50cf25f&amp;contextData=(sc.Default)"/>
  <Relationship Id="r8"
    Type="http://schemas.openxmlformats.org/officeDocument/2006/relationships/image"
    Target="images/2.png"/>
  <Relationship Id="r9"
    Type="http://schemas.openxmlformats.org/officeDocument/2006/relationships/hyperlink"
    TargetMode="External"
    Target="https://www.westlaw.com/Document/Id3605140183c11e9a174b18b713fc6d4/View/FullText.html?navigationPath=RelatedInfo%2Fv4%2Fkeycite%2Fnav%2F%3ForigDocGuid%3DI918d9430103711e7b123a7c0dc92d5ef&amp;listSource=RelatedInfo&amp;list=NegativeCitingReferences&amp;rank=0&amp;ppcid=9c0c0e510a8e4ce8b0f923e9c50cf25f&amp;originationContext=docHeader&amp;transitionType=NegativeTreatment&amp;contextData=%28sc.Default%29&amp;VR=3.0&amp;RS=cblt1.0"/>
  <Relationship Id="r10"
    Type="http://schemas.openxmlformats.org/officeDocument/2006/relationships/hyperlink"
    TargetMode="External"
    Target="http://www.westlaw.com/Link/Document/FullText?findType=h&amp;pubNum=176284&amp;cite=0365529801&amp;originatingDoc=I918d9430103711e7b123a7c0dc92d5ef&amp;refType=RQ&amp;originationContext=document&amp;vr=3.0&amp;rs=cblt1.0&amp;transitionType=DocumentItem&amp;contextData=(sc.Default)"/>
  <Relationship Id="r11"
    Type="http://schemas.openxmlformats.org/officeDocument/2006/relationships/hyperlink"
    TargetMode="External"
    Target="http://www.westlaw.com/Link/Document/FullText?findType=h&amp;pubNum=176284&amp;cite=0138766201&amp;originatingDoc=I918d9430103711e7b123a7c0dc92d5ef&amp;refType=RQ&amp;originationContext=document&amp;vr=3.0&amp;rs=cblt1.0&amp;transitionType=DocumentItem&amp;contextData=(sc.Default)"/>
  <Relationship Id="r12"
    Type="http://schemas.openxmlformats.org/officeDocument/2006/relationships/hyperlink"
    TargetMode="External"
    Target="http://www.westlaw.com/Browse/Home/KeyNumber/15A/View.html?docGuid=I918d9430103711e7b123a7c0dc92d5ef&amp;originationContext=document&amp;vr=3.0&amp;rs=cblt1.0&amp;transitionType=DocumentItem&amp;contextData=(sc.Default)"/>
  <Relationship Id="r13"
    Type="http://schemas.openxmlformats.org/officeDocument/2006/relationships/hyperlink"
    TargetMode="External"
    Target="http://www.westlaw.com/Browse/Home/KeyNumber/15Ak1814/View.html?docGuid=I918d9430103711e7b123a7c0dc92d5ef&amp;originationContext=document&amp;vr=3.0&amp;rs=cblt1.0&amp;transitionType=DocumentItem&amp;contextData=(sc.Default)"/>
  <Relationship Id="r14"
    Type="http://schemas.openxmlformats.org/officeDocument/2006/relationships/hyperlink"
    TargetMode="External"
    Target="http://www.westlaw.com/Browse/Home/KeyNumber/15A/View.html?docGuid=I918d9430103711e7b123a7c0dc92d5ef&amp;originationContext=document&amp;vr=3.0&amp;rs=cblt1.0&amp;transitionType=DocumentItem&amp;contextData=(sc.Default)"/>
  <Relationship Id="r15"
    Type="http://schemas.openxmlformats.org/officeDocument/2006/relationships/hyperlink"
    TargetMode="External"
    Target="http://www.westlaw.com/Browse/Home/KeyNumber/15AIV/View.html?docGuid=I918d9430103711e7b123a7c0dc92d5ef&amp;originationContext=document&amp;vr=3.0&amp;rs=cblt1.0&amp;transitionType=DocumentItem&amp;contextData=(sc.Default)"/>
  <Relationship Id="r16"
    Type="http://schemas.openxmlformats.org/officeDocument/2006/relationships/hyperlink"
    TargetMode="External"
    Target="http://www.westlaw.com/Browse/Home/KeyNumber/15AIV(G)/View.html?docGuid=I918d9430103711e7b123a7c0dc92d5ef&amp;originationContext=document&amp;vr=3.0&amp;rs=cblt1.0&amp;transitionType=DocumentItem&amp;contextData=(sc.Default)"/>
  <Relationship Id="r17"
    Type="http://schemas.openxmlformats.org/officeDocument/2006/relationships/hyperlink"
    TargetMode="External"
    Target="http://www.westlaw.com/Browse/Home/KeyNumber/15AIV(G)7/View.html?docGuid=I918d9430103711e7b123a7c0dc92d5ef&amp;originationContext=document&amp;vr=3.0&amp;rs=cblt1.0&amp;transitionType=DocumentItem&amp;contextData=(sc.Default)"/>
  <Relationship Id="r18"
    Type="http://schemas.openxmlformats.org/officeDocument/2006/relationships/hyperlink"
    TargetMode="External"
    Target="http://www.westlaw.com/Browse/Home/KeyNumber/15Ak1814/View.html?docGuid=I918d9430103711e7b123a7c0dc92d5ef&amp;originationContext=document&amp;vr=3.0&amp;rs=cblt1.0&amp;transitionType=DocumentItem&amp;contextData=(sc.Default)"/>
  <Relationship Id="r19"
    Type="http://schemas.openxmlformats.org/officeDocument/2006/relationships/image"
    Target="images/3.png"/>
  <Relationship Id="r20"
    Type="http://schemas.openxmlformats.org/officeDocument/2006/relationships/hyperlink"
    TargetMode="External"
    Target="http://www.westlaw.com/Browse/Home/KeyNumber/260/View.html?docGuid=I918d9430103711e7b123a7c0dc92d5ef&amp;originationContext=document&amp;vr=3.0&amp;rs=cblt1.0&amp;transitionType=DocumentItem&amp;contextData=(sc.Default)"/>
  <Relationship Id="r21"
    Type="http://schemas.openxmlformats.org/officeDocument/2006/relationships/hyperlink"
    TargetMode="External"
    Target="http://www.westlaw.com/Browse/Home/KeyNumber/260k92.15/View.html?docGuid=I918d9430103711e7b123a7c0dc92d5ef&amp;originationContext=document&amp;vr=3.0&amp;rs=cblt1.0&amp;transitionType=DocumentItem&amp;contextData=(sc.Default)"/>
  <Relationship Id="r22"
    Type="http://schemas.openxmlformats.org/officeDocument/2006/relationships/hyperlink"
    TargetMode="External"
    Target="http://www.westlaw.com/Browse/Home/KeyNumber/260/View.html?docGuid=I918d9430103711e7b123a7c0dc92d5ef&amp;originationContext=document&amp;vr=3.0&amp;rs=cblt1.0&amp;transitionType=DocumentItem&amp;contextData=(sc.Default)"/>
  <Relationship Id="r23"
    Type="http://schemas.openxmlformats.org/officeDocument/2006/relationships/hyperlink"
    TargetMode="External"
    Target="http://www.westlaw.com/Browse/Home/KeyNumber/260III/View.html?docGuid=I918d9430103711e7b123a7c0dc92d5ef&amp;originationContext=document&amp;vr=3.0&amp;rs=cblt1.0&amp;transitionType=DocumentItem&amp;contextData=(sc.Default)"/>
  <Relationship Id="r24"
    Type="http://schemas.openxmlformats.org/officeDocument/2006/relationships/hyperlink"
    TargetMode="External"
    Target="http://www.westlaw.com/Browse/Home/KeyNumber/260III(A)/View.html?docGuid=I918d9430103711e7b123a7c0dc92d5ef&amp;originationContext=document&amp;vr=3.0&amp;rs=cblt1.0&amp;transitionType=DocumentItem&amp;contextData=(sc.Default)"/>
  <Relationship Id="r25"
    Type="http://schemas.openxmlformats.org/officeDocument/2006/relationships/hyperlink"
    TargetMode="External"
    Target="http://www.westlaw.com/Browse/Home/KeyNumber/260k92.15/View.html?docGuid=I918d9430103711e7b123a7c0dc92d5ef&amp;originationContext=document&amp;vr=3.0&amp;rs=cblt1.0&amp;transitionType=DocumentItem&amp;contextData=(sc.Default)"/>
  <Relationship Id="r26"
    Type="http://schemas.openxmlformats.org/officeDocument/2006/relationships/hyperlink"
    TargetMode="External"
    Target="http://www.westlaw.com/Browse/Home/KeyNumber/260k92.16/View.html?docGuid=I918d9430103711e7b123a7c0dc92d5ef&amp;originationContext=document&amp;vr=3.0&amp;rs=cblt1.0&amp;transitionType=DocumentItem&amp;contextData=(sc.Default)"/>
  <Relationship Id="r27"
    Type="http://schemas.openxmlformats.org/officeDocument/2006/relationships/hyperlink"
    TargetMode="External"
    Target="http://www.westlaw.com/Link/Document/FullText?findType=L&amp;pubNum=1000517&amp;cite=COSTS34-60-105&amp;originatingDoc=I918d9430103711e7b123a7c0dc92d5ef&amp;refType=SP&amp;originationContext=document&amp;vr=3.0&amp;rs=cblt1.0&amp;transitionType=DocumentItem&amp;contextData=(sc.Default)#co_pp_f1c50000821b0"/>
  <Relationship Id="r28"
    Type="http://schemas.openxmlformats.org/officeDocument/2006/relationships/hyperlink"
    TargetMode="External"
    Target="http://www.westlaw.com/Link/RelatedInformation/DocHeadnoteLink?docGuid=I918d9430103711e7b123a7c0dc92d5ef&amp;headnoteId=204129341400220200724173202&amp;originationContext=document&amp;vr=3.0&amp;rs=cblt1.0&amp;transitionType=CitingReferences&amp;contextData=(sc.Default)"/>
  <Relationship Id="r29"
    Type="http://schemas.openxmlformats.org/officeDocument/2006/relationships/hyperlink"
    TargetMode="External"
    Target="http://www.westlaw.com/Browse/Home/KeyNumber/260/View.html?docGuid=I918d9430103711e7b123a7c0dc92d5ef&amp;originationContext=document&amp;vr=3.0&amp;rs=cblt1.0&amp;transitionType=DocumentItem&amp;contextData=(sc.Default)"/>
  <Relationship Id="r30"
    Type="http://schemas.openxmlformats.org/officeDocument/2006/relationships/hyperlink"
    TargetMode="External"
    Target="http://www.westlaw.com/Browse/Home/KeyNumber/260k92.12/View.html?docGuid=I918d9430103711e7b123a7c0dc92d5ef&amp;originationContext=document&amp;vr=3.0&amp;rs=cblt1.0&amp;transitionType=DocumentItem&amp;contextData=(sc.Default)"/>
  <Relationship Id="r31"
    Type="http://schemas.openxmlformats.org/officeDocument/2006/relationships/hyperlink"
    TargetMode="External"
    Target="http://www.westlaw.com/Browse/Home/KeyNumber/260/View.html?docGuid=I918d9430103711e7b123a7c0dc92d5ef&amp;originationContext=document&amp;vr=3.0&amp;rs=cblt1.0&amp;transitionType=DocumentItem&amp;contextData=(sc.Default)"/>
  <Relationship Id="r32"
    Type="http://schemas.openxmlformats.org/officeDocument/2006/relationships/hyperlink"
    TargetMode="External"
    Target="http://www.westlaw.com/Browse/Home/KeyNumber/260III/View.html?docGuid=I918d9430103711e7b123a7c0dc92d5ef&amp;originationContext=document&amp;vr=3.0&amp;rs=cblt1.0&amp;transitionType=DocumentItem&amp;contextData=(sc.Default)"/>
  <Relationship Id="r33"
    Type="http://schemas.openxmlformats.org/officeDocument/2006/relationships/hyperlink"
    TargetMode="External"
    Target="http://www.westlaw.com/Browse/Home/KeyNumber/260III(A)/View.html?docGuid=I918d9430103711e7b123a7c0dc92d5ef&amp;originationContext=document&amp;vr=3.0&amp;rs=cblt1.0&amp;transitionType=DocumentItem&amp;contextData=(sc.Default)"/>
  <Relationship Id="r34"
    Type="http://schemas.openxmlformats.org/officeDocument/2006/relationships/hyperlink"
    TargetMode="External"
    Target="http://www.westlaw.com/Browse/Home/KeyNumber/260k92.12/View.html?docGuid=I918d9430103711e7b123a7c0dc92d5ef&amp;originationContext=document&amp;vr=3.0&amp;rs=cblt1.0&amp;transitionType=DocumentItem&amp;contextData=(sc.Default)"/>
  <Relationship Id="r35"
    Type="http://schemas.openxmlformats.org/officeDocument/2006/relationships/hyperlink"
    TargetMode="External"
    Target="http://www.westlaw.com/Browse/Home/KeyNumber/260k92.13/View.html?docGuid=I918d9430103711e7b123a7c0dc92d5ef&amp;originationContext=document&amp;vr=3.0&amp;rs=cblt1.0&amp;transitionType=DocumentItem&amp;contextData=(sc.Default)"/>
  <Relationship Id="r36"
    Type="http://schemas.openxmlformats.org/officeDocument/2006/relationships/hyperlink"
    TargetMode="External"
    Target="http://www.westlaw.com/Link/Document/FullText?findType=L&amp;pubNum=1000517&amp;cite=COSTS34-60-102&amp;originatingDoc=I918d9430103711e7b123a7c0dc92d5ef&amp;refType=SP&amp;originationContext=document&amp;vr=3.0&amp;rs=cblt1.0&amp;transitionType=DocumentItem&amp;contextData=(sc.Default)#co_pp_ddbe0000103c1"/>
  <Relationship Id="r37"
    Type="http://schemas.openxmlformats.org/officeDocument/2006/relationships/hyperlink"
    TargetMode="External"
    Target="http://www.westlaw.com/Link/Document/FullText?findType=h&amp;pubNum=176284&amp;cite=0501270199&amp;originatingDoc=I918d9430103711e7b123a7c0dc92d5ef&amp;refType=RQ&amp;originationContext=document&amp;vr=3.0&amp;rs=cblt1.0&amp;transitionType=DocumentItem&amp;contextData=(sc.Default)"/>
  <Relationship Id="r38"
    Type="http://schemas.openxmlformats.org/officeDocument/2006/relationships/hyperlink"
    TargetMode="External"
    Target="http://www.westlaw.com/Link/Document/FullText?findType=h&amp;pubNum=176284&amp;cite=0354270601&amp;originatingDoc=I918d9430103711e7b123a7c0dc92d5ef&amp;refType=RQ&amp;originationContext=document&amp;vr=3.0&amp;rs=cblt1.0&amp;transitionType=DocumentItem&amp;contextData=(sc.Default)"/>
  <Relationship Id="r39"
    Type="http://schemas.openxmlformats.org/officeDocument/2006/relationships/hyperlink"
    TargetMode="External"
    Target="http://www.westlaw.com/Link/Document/FullText?findType=h&amp;pubNum=176284&amp;cite=0342692501&amp;originatingDoc=I918d9430103711e7b123a7c0dc92d5ef&amp;refType=RQ&amp;originationContext=document&amp;vr=3.0&amp;rs=cblt1.0&amp;transitionType=DocumentItem&amp;contextData=(sc.Default)"/>
  <Relationship Id="r40"
    Type="http://schemas.openxmlformats.org/officeDocument/2006/relationships/hyperlink"
    TargetMode="External"
    Target="http://www.westlaw.com/Link/Document/FullText?findType=h&amp;pubNum=176284&amp;cite=0146056001&amp;originatingDoc=I918d9430103711e7b123a7c0dc92d5ef&amp;refType=RQ&amp;originationContext=document&amp;vr=3.0&amp;rs=cblt1.0&amp;transitionType=DocumentItem&amp;contextData=(sc.Default)"/>
  <Relationship Id="r41"
    Type="http://schemas.openxmlformats.org/officeDocument/2006/relationships/hyperlink"
    TargetMode="External"
    Target="http://www.westlaw.com/Link/Document/FullText?findType=h&amp;pubNum=176284&amp;cite=0145730701&amp;originatingDoc=I918d9430103711e7b123a7c0dc92d5ef&amp;refType=RQ&amp;originationContext=document&amp;vr=3.0&amp;rs=cblt1.0&amp;transitionType=DocumentItem&amp;contextData=(sc.Default)"/>
  <Relationship Id="r42"
    Type="http://schemas.openxmlformats.org/officeDocument/2006/relationships/hyperlink"
    TargetMode="External"
    Target="http://www.westlaw.com/Link/Document/FullText?findType=h&amp;pubNum=176284&amp;cite=0458491901&amp;originatingDoc=I918d9430103711e7b123a7c0dc92d5ef&amp;refType=RQ&amp;originationContext=document&amp;vr=3.0&amp;rs=cblt1.0&amp;transitionType=DocumentItem&amp;contextData=(sc.Default)"/>
  <Relationship Id="r43"
    Type="http://schemas.openxmlformats.org/officeDocument/2006/relationships/hyperlink"
    TargetMode="External"
    Target="http://www.westlaw.com/Link/Document/FullText?findType=h&amp;pubNum=176284&amp;cite=0493944099&amp;originatingDoc=I918d9430103711e7b123a7c0dc92d5ef&amp;refType=RQ&amp;originationContext=document&amp;vr=3.0&amp;rs=cblt1.0&amp;transitionType=DocumentItem&amp;contextData=(sc.Default)"/>
  <Relationship Id="r44"
    Type="http://schemas.openxmlformats.org/officeDocument/2006/relationships/hyperlink"
    TargetMode="External"
    Target="http://www.westlaw.com/Link/Document/FullText?findType=h&amp;pubNum=176284&amp;cite=0450921301&amp;originatingDoc=I918d9430103711e7b123a7c0dc92d5ef&amp;refType=RQ&amp;originationContext=document&amp;vr=3.0&amp;rs=cblt1.0&amp;transitionType=DocumentItem&amp;contextData=(sc.Default)"/>
  <Relationship Id="r45"
    Type="http://schemas.openxmlformats.org/officeDocument/2006/relationships/hyperlink"
    TargetMode="External"
    Target="http://www.westlaw.com/Link/Document/FullText?findType=h&amp;pubNum=176284&amp;cite=0146056001&amp;originatingDoc=I918d9430103711e7b123a7c0dc92d5ef&amp;refType=RQ&amp;originationContext=document&amp;vr=3.0&amp;rs=cblt1.0&amp;transitionType=DocumentItem&amp;contextData=(sc.Default)"/>
  <Relationship Id="r46"
    Type="http://schemas.openxmlformats.org/officeDocument/2006/relationships/hyperlink"
    TargetMode="External"
    Target="http://www.westlaw.com/Link/Document/FullText?findType=h&amp;pubNum=176284&amp;cite=0441774601&amp;originatingDoc=I918d9430103711e7b123a7c0dc92d5ef&amp;refType=RQ&amp;originationContext=document&amp;vr=3.0&amp;rs=cblt1.0&amp;transitionType=DocumentItem&amp;contextData=(sc.Default)"/>
  <Relationship Id="r47"
    Type="http://schemas.openxmlformats.org/officeDocument/2006/relationships/hyperlink"
    TargetMode="External"
    Target="http://www.westlaw.com/Link/Document/FullText?findType=h&amp;pubNum=176284&amp;cite=0455519401&amp;originatingDoc=I918d9430103711e7b123a7c0dc92d5ef&amp;refType=RQ&amp;originationContext=document&amp;vr=3.0&amp;rs=cblt1.0&amp;transitionType=DocumentItem&amp;contextData=(sc.Default)"/>
  <Relationship Id="r48"
    Type="http://schemas.openxmlformats.org/officeDocument/2006/relationships/hyperlink"
    TargetMode="External"
    Target="http://www.westlaw.com/Link/Document/FullText?findType=h&amp;pubNum=176284&amp;cite=0365529801&amp;originatingDoc=I918d9430103711e7b123a7c0dc92d5ef&amp;refType=RQ&amp;originationContext=document&amp;vr=3.0&amp;rs=cblt1.0&amp;transitionType=DocumentItem&amp;contextData=(sc.Default)"/>
  <Relationship Id="r49"
    Type="http://schemas.openxmlformats.org/officeDocument/2006/relationships/hyperlink"
    TargetMode="External"
    Target="http://www.westlaw.com/Link/Document/FullText?findType=L&amp;pubNum=1000517&amp;cite=COSTS34-60-101&amp;originatingDoc=I918d9430103711e7b123a7c0dc92d5ef&amp;refType=LQ&amp;originationContext=document&amp;vr=3.0&amp;rs=cblt1.0&amp;transitionType=DocumentItem&amp;contextData=(sc.Default)"/>
  <Relationship Id="r50"
    Type="http://schemas.openxmlformats.org/officeDocument/2006/relationships/hyperlink"
    TargetMode="External"
    Target="http://www.westlaw.com/Link/Document/FullText?findType=L&amp;pubNum=1000517&amp;cite=COSTS34-60-130&amp;originatingDoc=I918d9430103711e7b123a7c0dc92d5ef&amp;refType=LQ&amp;originationContext=document&amp;vr=3.0&amp;rs=cblt1.0&amp;transitionType=DocumentItem&amp;contextData=(sc.Default)"/>
  <Relationship Id="r51"
    Type="http://schemas.openxmlformats.org/officeDocument/2006/relationships/hyperlink"
    TargetMode="External"
    Target="http://www.westlaw.com/Link/Document/FullText?findType=Y&amp;serNum=2038781674&amp;pubNum=0004645&amp;originatingDoc=I918d9430103711e7b123a7c0dc92d5ef&amp;refType=RP&amp;originationContext=document&amp;vr=3.0&amp;rs=cblt1.0&amp;transitionType=DocumentItem&amp;contextData=(sc.Default)"/>
  <Relationship Id="r52"
    Type="http://schemas.openxmlformats.org/officeDocument/2006/relationships/hyperlink"
    TargetMode="External"
    Target="http://www.westlaw.com/Link/Document/FullText?findType=L&amp;pubNum=1000517&amp;cite=COSTS34-60-105&amp;originatingDoc=I918d9430103711e7b123a7c0dc92d5ef&amp;refType=LQ&amp;originationContext=document&amp;vr=3.0&amp;rs=cblt1.0&amp;transitionType=DocumentItem&amp;contextData=(sc.Default)"/>
  <Relationship Id="r53"
    Type="http://schemas.openxmlformats.org/officeDocument/2006/relationships/hyperlink"
    TargetMode="External"
    Target="https://1.next.westlaw.com/Link/RelatedInformation/Flag?documentGuid=N84287A00DEEE11EBB999A3C52DA54ECC&amp;transitionType=InlineKeyCiteFlags&amp;originationContext=docHeaderFlag&amp;Rank=0&amp;ppcid=9c0c0e510a8e4ce8b0f923e9c50cf25f&amp;contextData=(sc.Default)"/>
  <Relationship Id="r54"
    Type="http://schemas.openxmlformats.org/officeDocument/2006/relationships/hyperlink"
    TargetMode="External"
    Target="http://www.westlaw.com/Link/Document/FullText?findType=L&amp;pubNum=1000517&amp;cite=COSTS34-60-106&amp;originatingDoc=I918d9430103711e7b123a7c0dc92d5ef&amp;refType=LQ&amp;originationContext=document&amp;vr=3.0&amp;rs=cblt1.0&amp;transitionType=DocumentItem&amp;contextData=(sc.Default)"/>
  <Relationship Id="r55"
    Type="http://schemas.openxmlformats.org/officeDocument/2006/relationships/image"
    Target="images/4.png"/>
  <Relationship Id="r56"
    Type="http://schemas.openxmlformats.org/officeDocument/2006/relationships/hyperlink"
    TargetMode="External"
    Target="https://1.next.westlaw.com/Link/RelatedInformation/Flag?documentGuid=N84287A00DEEE11EBB999A3C52DA54ECC&amp;transitionType=InlineKeyCiteFlags&amp;originationContext=docHeaderFlag&amp;Rank=0&amp;ppcid=9c0c0e510a8e4ce8b0f923e9c50cf25f&amp;contextData=(sc.Default)"/>
  <Relationship Id="r57"
    Type="http://schemas.openxmlformats.org/officeDocument/2006/relationships/hyperlink"
    TargetMode="External"
    Target="http://www.westlaw.com/Link/Document/FullText?findType=L&amp;pubNum=1000517&amp;cite=COSTS34-60-106&amp;originatingDoc=I918d9430103711e7b123a7c0dc92d5ef&amp;refType=SP&amp;originationContext=document&amp;vr=3.0&amp;rs=cblt1.0&amp;transitionType=DocumentItem&amp;contextData=(sc.Default)#co_pp_d4920000db884"/>
  <Relationship Id="r58"
    Type="http://schemas.openxmlformats.org/officeDocument/2006/relationships/hyperlink"
    TargetMode="External"
    Target="http://www.westlaw.com/Link/Document/FullText?findType=L&amp;pubNum=1000517&amp;cite=COSTS24-4-106&amp;originatingDoc=I918d9430103711e7b123a7c0dc92d5ef&amp;refType=LQ&amp;originationContext=document&amp;vr=3.0&amp;rs=cblt1.0&amp;transitionType=DocumentItem&amp;contextData=(sc.Default)"/>
  <Relationship Id="r59"
    Type="http://schemas.openxmlformats.org/officeDocument/2006/relationships/hyperlink"
    TargetMode="External"
    Target="https://1.next.westlaw.com/Link/RelatedInformation/Flag?documentGuid=I1d248e419c9711d993e6d35cc61aab4a&amp;transitionType=InlineKeyCiteFlags&amp;originationContext=docHeaderFlag&amp;Rank=0&amp;ppcid=9c0c0e510a8e4ce8b0f923e9c50cf25f&amp;contextData=(sc.Default)"/>
  <Relationship Id="r60"
    Type="http://schemas.openxmlformats.org/officeDocument/2006/relationships/hyperlink"
    TargetMode="External"
    Target="http://www.westlaw.com/Link/Document/FullText?findType=Y&amp;serNum=1984130736&amp;pubNum=0000708&amp;originatingDoc=I918d9430103711e7b123a7c0dc92d5ef&amp;refType=RP&amp;originationContext=document&amp;vr=3.0&amp;rs=cblt1.0&amp;transitionType=DocumentItem&amp;contextData=(sc.Default)"/>
  <Relationship Id="r61"
    Type="http://schemas.openxmlformats.org/officeDocument/2006/relationships/hyperlink"
    TargetMode="External"
    Target="http://www.westlaw.com/Link/Document/FullText?findType=Y&amp;serNum=2015298615&amp;pubNum=0004645&amp;originatingDoc=I918d9430103711e7b123a7c0dc92d5ef&amp;refType=RP&amp;fi=co_pp_sp_4645_1182&amp;originationContext=document&amp;vr=3.0&amp;rs=cblt1.0&amp;transitionType=DocumentItem&amp;contextData=(sc.Default)#co_pp_sp_4645_1182"/>
  <Relationship Id="r62"
    Type="http://schemas.openxmlformats.org/officeDocument/2006/relationships/hyperlink"
    TargetMode="External"
    Target="http://www.westlaw.com/Link/Document/FullText?findType=Y&amp;serNum=2015298615&amp;pubNum=0004645&amp;originatingDoc=I918d9430103711e7b123a7c0dc92d5ef&amp;refType=RP&amp;originationContext=document&amp;vr=3.0&amp;rs=cblt1.0&amp;transitionType=DocumentItem&amp;contextData=(sc.Default)"/>
  <Relationship Id="r63"
    Type="http://schemas.openxmlformats.org/officeDocument/2006/relationships/hyperlink"
    TargetMode="External"
    Target="http://www.westlaw.com/Link/Document/FullText?findType=Y&amp;serNum=2038708609&amp;pubNum=0004645&amp;originatingDoc=I918d9430103711e7b123a7c0dc92d5ef&amp;refType=RP&amp;originationContext=document&amp;vr=3.0&amp;rs=cblt1.0&amp;transitionType=DocumentItem&amp;contextData=(sc.Default)"/>
  <Relationship Id="r64"
    Type="http://schemas.openxmlformats.org/officeDocument/2006/relationships/hyperlink"
    TargetMode="External"
    Target="http://www.westlaw.com/Link/Document/FullText?findType=Y&amp;serNum=2015551678&amp;pubNum=0004645&amp;originatingDoc=I918d9430103711e7b123a7c0dc92d5ef&amp;refType=RP&amp;fi=co_pp_sp_4645_261&amp;originationContext=document&amp;vr=3.0&amp;rs=cblt1.0&amp;transitionType=DocumentItem&amp;contextData=(sc.Default)#co_pp_sp_4645_261"/>
  <Relationship Id="r65"
    Type="http://schemas.openxmlformats.org/officeDocument/2006/relationships/hyperlink"
    TargetMode="External"
    Target="https://1.next.westlaw.com/Link/RelatedInformation/Flag?documentGuid=I1d248e419c9711d993e6d35cc61aab4a&amp;transitionType=InlineKeyCiteFlags&amp;originationContext=docHeaderFlag&amp;Rank=0&amp;ppcid=9c0c0e510a8e4ce8b0f923e9c50cf25f&amp;contextData=(sc.Default)"/>
  <Relationship Id="r66"
    Type="http://schemas.openxmlformats.org/officeDocument/2006/relationships/hyperlink"
    TargetMode="External"
    Target="http://www.westlaw.com/Link/Document/FullText?findType=Y&amp;serNum=1984130736&amp;pubNum=0000780&amp;originatingDoc=I918d9430103711e7b123a7c0dc92d5ef&amp;refType=RP&amp;originationContext=document&amp;vr=3.0&amp;rs=cblt1.0&amp;transitionType=DocumentItem&amp;contextData=(sc.Default)"/>
  <Relationship Id="r67"
    Type="http://schemas.openxmlformats.org/officeDocument/2006/relationships/hyperlink"
    TargetMode="External"
    Target="https://1.next.westlaw.com/Link/RelatedInformation/Flag?documentGuid=I1d248e419c9711d993e6d35cc61aab4a&amp;transitionType=InlineKeyCiteFlags&amp;originationContext=docHeaderFlag&amp;Rank=0&amp;ppcid=9c0c0e510a8e4ce8b0f923e9c50cf25f&amp;contextData=(sc.Default)"/>
  <Relationship Id="r68"
    Type="http://schemas.openxmlformats.org/officeDocument/2006/relationships/hyperlink"
    TargetMode="External"
    Target="http://www.westlaw.com/Link/Document/FullText?findType=Y&amp;serNum=1984130736&amp;pubNum=0000780&amp;originatingDoc=I918d9430103711e7b123a7c0dc92d5ef&amp;refType=RP&amp;fi=co_pp_sp_780_842&amp;originationContext=document&amp;vr=3.0&amp;rs=cblt1.0&amp;transitionType=DocumentItem&amp;contextData=(sc.Default)#co_pp_sp_780_842"/>
  <Relationship Id="r69"
    Type="http://schemas.openxmlformats.org/officeDocument/2006/relationships/hyperlink"
    TargetMode="External"
    Target="http://www.westlaw.com/Link/Document/FullText?findType=Y&amp;serNum=2033461534&amp;pubNum=0004645&amp;originatingDoc=I918d9430103711e7b123a7c0dc92d5ef&amp;refType=RP&amp;originationContext=document&amp;vr=3.0&amp;rs=cblt1.0&amp;transitionType=DocumentItem&amp;contextData=(sc.Default)"/>
  <Relationship Id="r70"
    Type="http://schemas.openxmlformats.org/officeDocument/2006/relationships/hyperlink"
    TargetMode="External"
    Target="http://www.westlaw.com/Link/Document/FullText?findType=Y&amp;serNum=2033461534&amp;pubNum=0007779&amp;originatingDoc=I918d9430103711e7b123a7c0dc92d5ef&amp;refType=RP&amp;originationContext=document&amp;vr=3.0&amp;rs=cblt1.0&amp;transitionType=DocumentItem&amp;contextData=(sc.Default)"/>
  <Relationship Id="r71"
    Type="http://schemas.openxmlformats.org/officeDocument/2006/relationships/hyperlink"
    TargetMode="External"
    Target="http://www.westlaw.com/Link/Document/FullText?findType=Y&amp;serNum=2033461534&amp;pubNum=0007779&amp;originatingDoc=I918d9430103711e7b123a7c0dc92d5ef&amp;refType=RP&amp;originationContext=document&amp;vr=3.0&amp;rs=cblt1.0&amp;transitionType=DocumentItem&amp;contextData=(sc.Default)"/>
  <Relationship Id="r72"
    Type="http://schemas.openxmlformats.org/officeDocument/2006/relationships/hyperlink"
    TargetMode="External"
    Target="http://www.westlaw.com/Link/Document/FullText?findType=Y&amp;serNum=2012237899&amp;pubNum=0004645&amp;originatingDoc=I918d9430103711e7b123a7c0dc92d5ef&amp;refType=RP&amp;fi=co_pp_sp_4645_605&amp;originationContext=document&amp;vr=3.0&amp;rs=cblt1.0&amp;transitionType=DocumentItem&amp;contextData=(sc.Default)#co_pp_sp_4645_605"/>
  <Relationship Id="r73"
    Type="http://schemas.openxmlformats.org/officeDocument/2006/relationships/hyperlink"
    TargetMode="External"
    Target="https://1.next.westlaw.com/Link/RelatedInformation/Flag?documentGuid=I1d248e419c9711d993e6d35cc61aab4a&amp;transitionType=InlineKeyCiteFlags&amp;originationContext=docHeaderFlag&amp;Rank=0&amp;ppcid=9c0c0e510a8e4ce8b0f923e9c50cf25f&amp;contextData=(sc.Default)"/>
  <Relationship Id="r74"
    Type="http://schemas.openxmlformats.org/officeDocument/2006/relationships/hyperlink"
    TargetMode="External"
    Target="http://www.westlaw.com/Link/Document/FullText?findType=Y&amp;serNum=1984130736&amp;pubNum=0000780&amp;originatingDoc=I918d9430103711e7b123a7c0dc92d5ef&amp;refType=RP&amp;fi=co_pp_sp_780_842&amp;originationContext=document&amp;vr=3.0&amp;rs=cblt1.0&amp;transitionType=DocumentItem&amp;contextData=(sc.Default)#co_pp_sp_780_842"/>
  <Relationship Id="r75"
    Type="http://schemas.openxmlformats.org/officeDocument/2006/relationships/hyperlink"
    TargetMode="External"
    Target="http://www.westlaw.com/Link/Document/FullText?findType=Y&amp;serNum=2027859511&amp;pubNum=0004645&amp;originatingDoc=I918d9430103711e7b123a7c0dc92d5ef&amp;refType=RP&amp;originationContext=document&amp;vr=3.0&amp;rs=cblt1.0&amp;transitionType=DocumentItem&amp;contextData=(sc.Default)"/>
  <Relationship Id="r76"
    Type="http://schemas.openxmlformats.org/officeDocument/2006/relationships/hyperlink"
    TargetMode="External"
    Target="http://www.westlaw.com/Link/Document/FullText?findType=Y&amp;serNum=2027859511&amp;pubNum=0007780&amp;originatingDoc=I918d9430103711e7b123a7c0dc92d5ef&amp;refType=RP&amp;originationContext=document&amp;vr=3.0&amp;rs=cblt1.0&amp;transitionType=DocumentItem&amp;contextData=(sc.Default)"/>
  <Relationship Id="r77"
    Type="http://schemas.openxmlformats.org/officeDocument/2006/relationships/hyperlink"
    TargetMode="External"
    Target="http://www.westlaw.com/Link/Document/FullText?findType=L&amp;pubNum=1000517&amp;cite=COSTS34-60-105&amp;originatingDoc=I918d9430103711e7b123a7c0dc92d5ef&amp;refType=SP&amp;originationContext=document&amp;vr=3.0&amp;rs=cblt1.0&amp;transitionType=DocumentItem&amp;contextData=(sc.Default)#co_pp_f1c50000821b0"/>
  <Relationship Id="r78"
    Type="http://schemas.openxmlformats.org/officeDocument/2006/relationships/hyperlink"
    TargetMode="External"
    Target="https://1.next.westlaw.com/Link/RelatedInformation/Flag?documentGuid=N84287A00DEEE11EBB999A3C52DA54ECC&amp;transitionType=InlineKeyCiteFlags&amp;originationContext=docHeaderFlag&amp;Rank=0&amp;ppcid=9c0c0e510a8e4ce8b0f923e9c50cf25f&amp;contextData=(sc.Default)"/>
  <Relationship Id="r79"
    Type="http://schemas.openxmlformats.org/officeDocument/2006/relationships/hyperlink"
    TargetMode="External"
    Target="http://www.westlaw.com/Link/Document/FullText?findType=L&amp;pubNum=1000517&amp;cite=COSTS34-60-106&amp;originatingDoc=I918d9430103711e7b123a7c0dc92d5ef&amp;refType=SP&amp;originationContext=document&amp;vr=3.0&amp;rs=cblt1.0&amp;transitionType=DocumentItem&amp;contextData=(sc.Default)#co_pp_0eb50000c74e2"/>
  <Relationship Id="r80"
    Type="http://schemas.openxmlformats.org/officeDocument/2006/relationships/hyperlink"
    TargetMode="External"
    Target="http://www.westlaw.com/Link/Document/FullText?findType=L&amp;pubNum=1000517&amp;cite=COSTS34-60-102&amp;originatingDoc=I918d9430103711e7b123a7c0dc92d5ef&amp;refType=SP&amp;originationContext=document&amp;vr=3.0&amp;rs=cblt1.0&amp;transitionType=DocumentItem&amp;contextData=(sc.Default)#co_pp_ddbe0000103c1"/>
  <Relationship Id="r81"
    Type="http://schemas.openxmlformats.org/officeDocument/2006/relationships/hyperlink"
    TargetMode="External"
    Target="http://www.westlaw.com/Link/Document/FullText?findType=L&amp;pubNum=1000517&amp;cite=COSTS34-60-102&amp;originatingDoc=I918d9430103711e7b123a7c0dc92d5ef&amp;refType=SP&amp;originationContext=document&amp;vr=3.0&amp;rs=cblt1.0&amp;transitionType=DocumentItem&amp;contextData=(sc.Default)#co_pp_ddbe0000103c1"/>
  <Relationship Id="r82"
    Type="http://schemas.openxmlformats.org/officeDocument/2006/relationships/hyperlink"
    TargetMode="External"
    Target="http://www.westlaw.com/Link/Document/FullText?findType=L&amp;pubNum=1000517&amp;cite=COSTS34-60-102&amp;originatingDoc=I918d9430103711e7b123a7c0dc92d5ef&amp;refType=SP&amp;originationContext=document&amp;vr=3.0&amp;rs=cblt1.0&amp;transitionType=DocumentItem&amp;contextData=(sc.Default)#co_pp_ddbe0000103c1"/>
  <Relationship Id="r83"
    Type="http://schemas.openxmlformats.org/officeDocument/2006/relationships/hyperlink"
    TargetMode="External"
    Target="http://www.westlaw.com/Link/Document/FullText?findType=L&amp;pubNum=1000517&amp;cite=COSTS34-60-102&amp;originatingDoc=I918d9430103711e7b123a7c0dc92d5ef&amp;refType=SP&amp;originationContext=document&amp;vr=3.0&amp;rs=cblt1.0&amp;transitionType=DocumentItem&amp;contextData=(sc.Default)#co_pp_ddbe0000103c1"/>
  <Relationship Id="r84"
    Type="http://schemas.openxmlformats.org/officeDocument/2006/relationships/hyperlink"
    TargetMode="External"
    Target="http://www.westlaw.com/Link/Document/FullText?findType=L&amp;pubNum=1000517&amp;cite=COSTS34-60-102&amp;originatingDoc=I918d9430103711e7b123a7c0dc92d5ef&amp;refType=SP&amp;originationContext=document&amp;vr=3.0&amp;rs=cblt1.0&amp;transitionType=DocumentItem&amp;contextData=(sc.Default)#co_pp_ddbe0000103c1"/>
  <Relationship Id="r85"
    Type="http://schemas.openxmlformats.org/officeDocument/2006/relationships/hyperlink"
    TargetMode="External"
    Target="http://www.westlaw.com/Link/Document/FullText?findType=L&amp;pubNum=1000517&amp;cite=COSTS34-60-102&amp;originatingDoc=I918d9430103711e7b123a7c0dc92d5ef&amp;refType=SP&amp;originationContext=document&amp;vr=3.0&amp;rs=cblt1.0&amp;transitionType=DocumentItem&amp;contextData=(sc.Default)#co_pp_ddbe0000103c1"/>
  <Relationship Id="r86"
    Type="http://schemas.openxmlformats.org/officeDocument/2006/relationships/hyperlink"
    TargetMode="External"
    Target="http://www.westlaw.com/Link/Document/FullText?findType=L&amp;pubNum=1000517&amp;cite=COSTS34-60-102&amp;originatingDoc=I918d9430103711e7b123a7c0dc92d5ef&amp;refType=SP&amp;originationContext=document&amp;vr=3.0&amp;rs=cblt1.0&amp;transitionType=DocumentItem&amp;contextData=(sc.Default)#co_pp_ddbe0000103c1"/>
  <Relationship Id="r87"
    Type="http://schemas.openxmlformats.org/officeDocument/2006/relationships/hyperlink"
    TargetMode="External"
    Target="https://1.next.westlaw.com/Link/RelatedInformation/Flag?documentGuid=I480cd0f0490011ddb5cbad29a280d47c&amp;transitionType=InlineKeyCiteFlags&amp;originationContext=docHeaderFlag&amp;Rank=0&amp;ppcid=9c0c0e510a8e4ce8b0f923e9c50cf25f&amp;contextData=(sc.Default)"/>
  <Relationship Id="r88"
    Type="http://schemas.openxmlformats.org/officeDocument/2006/relationships/hyperlink"
    TargetMode="External"
    Target="http://www.westlaw.com/Link/Document/FullText?findType=Y&amp;serNum=2016453953&amp;pubNum=0000506&amp;originatingDoc=I918d9430103711e7b123a7c0dc92d5ef&amp;refType=RP&amp;fi=co_pp_sp_506_611&amp;originationContext=document&amp;vr=3.0&amp;rs=cblt1.0&amp;transitionType=DocumentItem&amp;contextData=(sc.Default)#co_pp_sp_506_611"/>
  <Relationship Id="r89"
    Type="http://schemas.openxmlformats.org/officeDocument/2006/relationships/hyperlink"
    TargetMode="External"
    Target="http://www.westlaw.com/Link/Document/FullText?findType=L&amp;pubNum=1000517&amp;cite=COSTS34-60-102&amp;originatingDoc=I918d9430103711e7b123a7c0dc92d5ef&amp;refType=SP&amp;originationContext=document&amp;vr=3.0&amp;rs=cblt1.0&amp;transitionType=DocumentItem&amp;contextData=(sc.Default)#co_pp_ddbe0000103c1"/>
  <Relationship Id="r90"
    Type="http://schemas.openxmlformats.org/officeDocument/2006/relationships/hyperlink"
    TargetMode="External"
    Target="https://1.next.westlaw.com/Link/RelatedInformation/Flag?documentGuid=I1b8789d0f3e811d9bf60c1d57ebc853e&amp;transitionType=InlineKeyCiteFlags&amp;originationContext=docHeaderFlag&amp;Rank=0&amp;ppcid=9c0c0e510a8e4ce8b0f923e9c50cf25f&amp;contextData=(sc.Default)"/>
  <Relationship Id="r91"
    Type="http://schemas.openxmlformats.org/officeDocument/2006/relationships/hyperlink"
    TargetMode="External"
    Target="http://www.westlaw.com/Link/Document/FullText?findType=Y&amp;serNum=1989059868&amp;pubNum=0000661&amp;originatingDoc=I918d9430103711e7b123a7c0dc92d5ef&amp;refType=RP&amp;fi=co_pp_sp_661_1048&amp;originationContext=document&amp;vr=3.0&amp;rs=cblt1.0&amp;transitionType=DocumentItem&amp;contextData=(sc.Default)#co_pp_sp_661_1048"/>
  <Relationship Id="r92"
    Type="http://schemas.openxmlformats.org/officeDocument/2006/relationships/hyperlink"
    TargetMode="External"
    Target="http://www.westlaw.com/Link/Document/FullText?findType=L&amp;pubNum=1000517&amp;cite=COSTS34-60-102&amp;originatingDoc=I918d9430103711e7b123a7c0dc92d5ef&amp;refType=SP&amp;originationContext=document&amp;vr=3.0&amp;rs=cblt1.0&amp;transitionType=DocumentItem&amp;contextData=(sc.Default)#co_pp_ddbe0000103c1"/>
  <Relationship Id="r93"
    Type="http://schemas.openxmlformats.org/officeDocument/2006/relationships/hyperlink"
    TargetMode="External"
    Target="http://www.westlaw.com/Link/Document/FullText?findType=L&amp;pubNum=1000517&amp;cite=COSTS34-60-102&amp;originatingDoc=I918d9430103711e7b123a7c0dc92d5ef&amp;refType=SP&amp;originationContext=document&amp;vr=3.0&amp;rs=cblt1.0&amp;transitionType=DocumentItem&amp;contextData=(sc.Default)#co_pp_ddbe0000103c1"/>
  <Relationship Id="r94"
    Type="http://schemas.openxmlformats.org/officeDocument/2006/relationships/hyperlink"
    TargetMode="External"
    Target="https://1.next.westlaw.com/Link/RelatedInformation/Flag?documentGuid=I6e47342af57111d9b386b232635db992&amp;transitionType=InlineKeyCiteFlags&amp;originationContext=docHeaderFlag&amp;Rank=0&amp;ppcid=9c0c0e510a8e4ce8b0f923e9c50cf25f&amp;contextData=(sc.Default)"/>
  <Relationship Id="r95"
    Type="http://schemas.openxmlformats.org/officeDocument/2006/relationships/hyperlink"
    TargetMode="External"
    Target="http://www.westlaw.com/Link/Document/FullText?findType=Y&amp;serNum=1997189365&amp;pubNum=0000661&amp;originatingDoc=I918d9430103711e7b123a7c0dc92d5ef&amp;refType=RP&amp;fi=co_pp_sp_661_925&amp;originationContext=document&amp;vr=3.0&amp;rs=cblt1.0&amp;transitionType=DocumentItem&amp;contextData=(sc.Default)#co_pp_sp_661_925"/>
  <Relationship Id="r96"
    Type="http://schemas.openxmlformats.org/officeDocument/2006/relationships/hyperlink"
    TargetMode="External"
    Target="http://www.westlaw.com/Link/Document/FullText?findType=L&amp;pubNum=1000517&amp;cite=COSTS29-20-102&amp;originatingDoc=I918d9430103711e7b123a7c0dc92d5ef&amp;refType=LQ&amp;originationContext=document&amp;vr=3.0&amp;rs=cblt1.0&amp;transitionType=DocumentItem&amp;contextData=(sc.Default)"/>
  <Relationship Id="r97"
    Type="http://schemas.openxmlformats.org/officeDocument/2006/relationships/hyperlink"
    TargetMode="External"
    Target="http://www.westlaw.com/Link/Document/FullText?findType=Y&amp;serNum=2012237899&amp;pubNum=0004645&amp;originatingDoc=I918d9430103711e7b123a7c0dc92d5ef&amp;refType=RP&amp;fi=co_pp_sp_4645_606&amp;originationContext=document&amp;vr=3.0&amp;rs=cblt1.0&amp;transitionType=DocumentItem&amp;contextData=(sc.Default)#co_pp_sp_4645_606"/>
  <Relationship Id="r98"
    Type="http://schemas.openxmlformats.org/officeDocument/2006/relationships/hyperlink"
    TargetMode="External"
    Target="http://www.westlaw.com/Link/Document/FullText?findType=Y&amp;serNum=2012237899&amp;pubNum=0004645&amp;originatingDoc=I918d9430103711e7b123a7c0dc92d5ef&amp;refType=RP&amp;originationContext=document&amp;vr=3.0&amp;rs=cblt1.0&amp;transitionType=DocumentItem&amp;contextData=(sc.Default)"/>
  <Relationship Id="r99"
    Type="http://schemas.openxmlformats.org/officeDocument/2006/relationships/hyperlink"
    TargetMode="External"
    Target="http://www.westlaw.com/Link/Document/FullText?findType=L&amp;pubNum=1000517&amp;cite=COSTS34-60-102&amp;originatingDoc=I918d9430103711e7b123a7c0dc92d5ef&amp;refType=SP&amp;originationContext=document&amp;vr=3.0&amp;rs=cblt1.0&amp;transitionType=DocumentItem&amp;contextData=(sc.Default)#co_pp_ddbe0000103c1"/>
  <Relationship Id="r100"
    Type="http://schemas.openxmlformats.org/officeDocument/2006/relationships/hyperlink"
    TargetMode="External"
    Target="http://www.westlaw.com/Link/Document/FullText?findType=Y&amp;serNum=2033231363&amp;pubNum=0004645&amp;originatingDoc=I918d9430103711e7b123a7c0dc92d5ef&amp;refType=RP&amp;originationContext=document&amp;vr=3.0&amp;rs=cblt1.0&amp;transitionType=DocumentItem&amp;contextData=(sc.Default)"/>
  <Relationship Id="r101"
    Type="http://schemas.openxmlformats.org/officeDocument/2006/relationships/hyperlink"
    TargetMode="External"
    Target="http://www.westlaw.com/Link/Document/FullText?findType=Y&amp;serNum=1996076180&amp;pubNum=0000661&amp;originatingDoc=I918d9430103711e7b123a7c0dc92d5ef&amp;refType=RP&amp;fi=co_pp_sp_661_539&amp;originationContext=document&amp;vr=3.0&amp;rs=cblt1.0&amp;transitionType=DocumentItem&amp;contextData=(sc.Default)#co_pp_sp_661_539"/>
  <Relationship Id="r102"
    Type="http://schemas.openxmlformats.org/officeDocument/2006/relationships/hyperlink"
    TargetMode="External"
    Target="http://www.westlaw.com/Link/Document/FullText?findType=Y&amp;serNum=2029662759&amp;pubNum=0004645&amp;originatingDoc=I918d9430103711e7b123a7c0dc92d5ef&amp;refType=RP&amp;originationContext=document&amp;vr=3.0&amp;rs=cblt1.0&amp;transitionType=DocumentItem&amp;contextData=(sc.Default)"/>
  <Relationship Id="r103"
    Type="http://schemas.openxmlformats.org/officeDocument/2006/relationships/hyperlink"
    TargetMode="External"
    Target="http://www.westlaw.com/Link/Document/FullText?findType=Y&amp;serNum=2001819762&amp;pubNum=0004645&amp;originatingDoc=I918d9430103711e7b123a7c0dc92d5ef&amp;refType=RP&amp;fi=co_pp_sp_4645_189&amp;originationContext=document&amp;vr=3.0&amp;rs=cblt1.0&amp;transitionType=DocumentItem&amp;contextData=(sc.Default)#co_pp_sp_4645_189"/>
  <Relationship Id="r104"
    Type="http://schemas.openxmlformats.org/officeDocument/2006/relationships/hyperlink"
    TargetMode="External"
    Target="http://www.westlaw.com/Link/Document/FullText?findType=Y&amp;serNum=2001486835&amp;pubNum=0004645&amp;originatingDoc=I918d9430103711e7b123a7c0dc92d5ef&amp;refType=RP&amp;fi=co_pp_sp_4645_345&amp;originationContext=document&amp;vr=3.0&amp;rs=cblt1.0&amp;transitionType=DocumentItem&amp;contextData=(sc.Default)#co_pp_sp_4645_345"/>
  <Relationship Id="r105"
    Type="http://schemas.openxmlformats.org/officeDocument/2006/relationships/hyperlink"
    TargetMode="External"
    Target="http://www.westlaw.com/Link/Document/FullText?findType=Y&amp;serNum=1994246511&amp;pubNum=0000661&amp;originatingDoc=I918d9430103711e7b123a7c0dc92d5ef&amp;refType=RP&amp;fi=co_pp_sp_661_363&amp;originationContext=document&amp;vr=3.0&amp;rs=cblt1.0&amp;transitionType=DocumentItem&amp;contextData=(sc.Default)#co_pp_sp_661_363"/>
  <Relationship Id="r106"
    Type="http://schemas.openxmlformats.org/officeDocument/2006/relationships/hyperlink"
    TargetMode="External"
    Target="http://www.westlaw.com/Link/Document/FullText?findType=L&amp;pubNum=1000517&amp;cite=COSTS34-60-102&amp;originatingDoc=I918d9430103711e7b123a7c0dc92d5ef&amp;refType=SP&amp;originationContext=document&amp;vr=3.0&amp;rs=cblt1.0&amp;transitionType=DocumentItem&amp;contextData=(sc.Default)#co_pp_ddbe0000103c1"/>
  <Relationship Id="r107"
    Type="http://schemas.openxmlformats.org/officeDocument/2006/relationships/hyperlink"
    TargetMode="External"
    Target="http://www.westlaw.com/Link/Document/FullText?findType=L&amp;pubNum=1000517&amp;cite=COSTS34-60-102&amp;originatingDoc=I918d9430103711e7b123a7c0dc92d5ef&amp;refType=SP&amp;originationContext=document&amp;vr=3.0&amp;rs=cblt1.0&amp;transitionType=DocumentItem&amp;contextData=(sc.Default)#co_pp_ddbe0000103c1"/>
  <Relationship Id="r108"
    Type="http://schemas.openxmlformats.org/officeDocument/2006/relationships/hyperlink"
    TargetMode="External"
    Target="http://www.westlaw.com/Link/Document/FullText?findType=L&amp;pubNum=1000517&amp;cite=COSTS34-60-102&amp;originatingDoc=I918d9430103711e7b123a7c0dc92d5ef&amp;refType=SP&amp;originationContext=document&amp;vr=3.0&amp;rs=cblt1.0&amp;transitionType=DocumentItem&amp;contextData=(sc.Default)#co_pp_ddbe0000103c1"/>
  <Relationship Id="r109"
    Type="http://schemas.openxmlformats.org/officeDocument/2006/relationships/hyperlink"
    TargetMode="External"
    Target="https://1.next.westlaw.com/Link/RelatedInformation/Flag?documentGuid=I6e47342af57111d9b386b232635db992&amp;transitionType=InlineKeyCiteFlags&amp;originationContext=docHeaderFlag&amp;Rank=0&amp;ppcid=9c0c0e510a8e4ce8b0f923e9c50cf25f&amp;contextData=(sc.Default)"/>
  <Relationship Id="r110"
    Type="http://schemas.openxmlformats.org/officeDocument/2006/relationships/hyperlink"
    TargetMode="External"
    Target="http://www.westlaw.com/Link/Document/FullText?findType=Y&amp;serNum=1997189365&amp;pubNum=0000661&amp;originatingDoc=I918d9430103711e7b123a7c0dc92d5ef&amp;refType=RP&amp;fi=co_pp_sp_661_925&amp;originationContext=document&amp;vr=3.0&amp;rs=cblt1.0&amp;transitionType=DocumentItem&amp;contextData=(sc.Default)#co_pp_sp_661_925"/>
  <Relationship Id="r111"
    Type="http://schemas.openxmlformats.org/officeDocument/2006/relationships/hyperlink"
    TargetMode="External"
    Target="http://www.westlaw.com/Link/Document/FullText?findType=Y&amp;serNum=2033461534&amp;pubNum=0007779&amp;originatingDoc=I918d9430103711e7b123a7c0dc92d5ef&amp;refType=RP&amp;originationContext=document&amp;vr=3.0&amp;rs=cblt1.0&amp;transitionType=DocumentItem&amp;contextData=(sc.Default)"/>
  <Relationship Id="r112"
    Type="http://schemas.openxmlformats.org/officeDocument/2006/relationships/hyperlink"
    TargetMode="External"
    Target="https://1.next.westlaw.com/Link/RelatedInformation/Flag?documentGuid=N84287A00DEEE11EBB999A3C52DA54ECC&amp;transitionType=InlineKeyCiteFlags&amp;originationContext=docHeaderFlag&amp;Rank=0&amp;ppcid=9c0c0e510a8e4ce8b0f923e9c50cf25f&amp;contextData=(sc.Default)"/>
  <Relationship Id="r113"
    Type="http://schemas.openxmlformats.org/officeDocument/2006/relationships/hyperlink"
    TargetMode="External"
    Target="http://www.westlaw.com/Link/Document/FullText?findType=L&amp;pubNum=1000517&amp;cite=COSTS34-60-106&amp;originatingDoc=I918d9430103711e7b123a7c0dc92d5ef&amp;refType=SP&amp;originationContext=document&amp;vr=3.0&amp;rs=cblt1.0&amp;transitionType=DocumentItem&amp;contextData=(sc.Default)#co_pp_93670000bd080"/>
  <Relationship Id="r114"
    Type="http://schemas.openxmlformats.org/officeDocument/2006/relationships/hyperlink"
    TargetMode="External"
    Target="http://www.westlaw.com/Link/Document/FullText?findType=L&amp;pubNum=1000517&amp;cite=COSTS34-60-102&amp;originatingDoc=I918d9430103711e7b123a7c0dc92d5ef&amp;refType=LQ&amp;originationContext=document&amp;vr=3.0&amp;rs=cblt1.0&amp;transitionType=DocumentItem&amp;contextData=(sc.Default)"/>
  <Relationship Id="r115"
    Type="http://schemas.openxmlformats.org/officeDocument/2006/relationships/hyperlink"
    TargetMode="External"
    Target="https://1.next.westlaw.com/Link/RelatedInformation/Flag?documentGuid=N84287A00DEEE11EBB999A3C52DA54ECC&amp;transitionType=InlineKeyCiteFlags&amp;originationContext=docHeaderFlag&amp;Rank=0&amp;ppcid=9c0c0e510a8e4ce8b0f923e9c50cf25f&amp;contextData=(sc.Default)"/>
  <Relationship Id="r116"
    Type="http://schemas.openxmlformats.org/officeDocument/2006/relationships/hyperlink"
    TargetMode="External"
    Target="http://www.westlaw.com/Link/Document/FullText?findType=L&amp;pubNum=1000517&amp;cite=COSTS34-60-106&amp;originatingDoc=I918d9430103711e7b123a7c0dc92d5ef&amp;refType=SP&amp;originationContext=document&amp;vr=3.0&amp;rs=cblt1.0&amp;transitionType=DocumentItem&amp;contextData=(sc.Default)#co_pp_93670000bd080"/>
  <Relationship Id="r117"
    Type="http://schemas.openxmlformats.org/officeDocument/2006/relationships/hyperlink"
    TargetMode="External"
    Target="https://1.next.westlaw.com/Link/RelatedInformation/Flag?documentGuid=N84287A00DEEE11EBB999A3C52DA54ECC&amp;transitionType=InlineKeyCiteFlags&amp;originationContext=docHeaderFlag&amp;Rank=0&amp;ppcid=9c0c0e510a8e4ce8b0f923e9c50cf25f&amp;contextData=(sc.Default)"/>
  <Relationship Id="r118"
    Type="http://schemas.openxmlformats.org/officeDocument/2006/relationships/hyperlink"
    TargetMode="External"
    Target="http://www.westlaw.com/Link/Document/FullText?findType=L&amp;pubNum=1000517&amp;cite=COSTS34-60-106&amp;originatingDoc=I918d9430103711e7b123a7c0dc92d5ef&amp;refType=SP&amp;originationContext=document&amp;vr=3.0&amp;rs=cblt1.0&amp;transitionType=DocumentItem&amp;contextData=(sc.Default)#co_pp_93670000bd080"/>
  <Relationship Id="r119"
    Type="http://schemas.openxmlformats.org/officeDocument/2006/relationships/hyperlink"
    TargetMode="External"
    Target="http://www.westlaw.com/Link/Document/FullText?findType=L&amp;pubNum=1000517&amp;cite=COSTS34-60-102&amp;originatingDoc=I918d9430103711e7b123a7c0dc92d5ef&amp;refType=LQ&amp;originationContext=document&amp;vr=3.0&amp;rs=cblt1.0&amp;transitionType=DocumentItem&amp;contextData=(sc.Default)"/>
  <Relationship Id="r120"
    Type="http://schemas.openxmlformats.org/officeDocument/2006/relationships/hyperlink"
    TargetMode="External"
    Target="https://1.next.westlaw.com/Link/RelatedInformation/Flag?documentGuid=N84287A00DEEE11EBB999A3C52DA54ECC&amp;transitionType=InlineKeyCiteFlags&amp;originationContext=docHeaderFlag&amp;Rank=0&amp;ppcid=9c0c0e510a8e4ce8b0f923e9c50cf25f&amp;contextData=(sc.Default)"/>
  <Relationship Id="r121"
    Type="http://schemas.openxmlformats.org/officeDocument/2006/relationships/hyperlink"
    TargetMode="External"
    Target="http://www.westlaw.com/Link/Document/FullText?findType=L&amp;pubNum=1000517&amp;cite=COSTS34-60-106&amp;originatingDoc=I918d9430103711e7b123a7c0dc92d5ef&amp;refType=SP&amp;originationContext=document&amp;vr=3.0&amp;rs=cblt1.0&amp;transitionType=DocumentItem&amp;contextData=(sc.Default)#co_pp_93670000bd080"/>
  <Relationship Id="r122"
    Type="http://schemas.openxmlformats.org/officeDocument/2006/relationships/hyperlink"
    TargetMode="External"
    Target="http://www.westlaw.com/Link/Document/FullText?findType=L&amp;pubNum=1000517&amp;cite=COSTS34-60-102&amp;originatingDoc=I918d9430103711e7b123a7c0dc92d5ef&amp;refType=LQ&amp;originationContext=document&amp;vr=3.0&amp;rs=cblt1.0&amp;transitionType=DocumentItem&amp;contextData=(sc.Default)"/>
  <Relationship Id="r123"
    Type="http://schemas.openxmlformats.org/officeDocument/2006/relationships/hyperlink"
    TargetMode="External"
    Target="https://1.next.westlaw.com/Link/RelatedInformation/Flag?documentGuid=N84287A00DEEE11EBB999A3C52DA54ECC&amp;transitionType=InlineKeyCiteFlags&amp;originationContext=docHeaderFlag&amp;Rank=0&amp;ppcid=9c0c0e510a8e4ce8b0f923e9c50cf25f&amp;contextData=(sc.Default)"/>
  <Relationship Id="r124"
    Type="http://schemas.openxmlformats.org/officeDocument/2006/relationships/hyperlink"
    TargetMode="External"
    Target="http://www.westlaw.com/Link/Document/FullText?findType=L&amp;pubNum=1000517&amp;cite=COSTS34-60-106&amp;originatingDoc=I918d9430103711e7b123a7c0dc92d5ef&amp;refType=SP&amp;originationContext=document&amp;vr=3.0&amp;rs=cblt1.0&amp;transitionType=DocumentItem&amp;contextData=(sc.Default)#co_pp_93670000bd080"/>
  <Relationship Id="r125"
    Type="http://schemas.openxmlformats.org/officeDocument/2006/relationships/hyperlink"
    TargetMode="External"
    Target="https://1.next.westlaw.com/Link/RelatedInformation/Flag?documentGuid=I5f49c7d086de11e497f6b4e27c653cca&amp;transitionType=InlineKeyCiteFlags&amp;originationContext=docHeaderFlag&amp;Rank=0&amp;ppcid=9c0c0e510a8e4ce8b0f923e9c50cf25f&amp;contextData=(sc.Default)"/>
  <Relationship Id="r126"
    Type="http://schemas.openxmlformats.org/officeDocument/2006/relationships/hyperlink"
    TargetMode="External"
    Target="http://www.westlaw.com/Link/Document/FullText?findType=Y&amp;serNum=2035072299&amp;pubNum=0004645&amp;originatingDoc=I918d9430103711e7b123a7c0dc92d5ef&amp;refType=RP&amp;originationContext=document&amp;vr=3.0&amp;rs=cblt1.0&amp;transitionType=DocumentItem&amp;contextData=(sc.Default)"/>
  <Relationship Id="r127"
    Type="http://schemas.openxmlformats.org/officeDocument/2006/relationships/hyperlink"
    TargetMode="External"
    Target="http://www.westlaw.com/Link/Document/FullText?findType=Y&amp;serNum=2027859511&amp;pubNum=0007780&amp;originatingDoc=I918d9430103711e7b123a7c0dc92d5ef&amp;refType=RP&amp;originationContext=document&amp;vr=3.0&amp;rs=cblt1.0&amp;transitionType=DocumentItem&amp;contextData=(sc.Default)"/>
  <Relationship Id="r128"
    Type="http://schemas.openxmlformats.org/officeDocument/2006/relationships/hyperlink"
    TargetMode="External"
    Target="https://1.next.westlaw.com/Link/RelatedInformation/Flag?documentGuid=I5ab5f6269be911d9bc61beebb95be672&amp;transitionType=InlineKeyCiteFlags&amp;originationContext=docHeaderFlag&amp;Rank=0&amp;ppcid=9c0c0e510a8e4ce8b0f923e9c50cf25f&amp;contextData=(sc.Default)"/>
  <Relationship Id="r129"
    Type="http://schemas.openxmlformats.org/officeDocument/2006/relationships/hyperlink"
    TargetMode="External"
    Target="http://www.westlaw.com/Link/Document/FullText?findType=Y&amp;serNum=1972127146&amp;pubNum=0000780&amp;originatingDoc=I918d9430103711e7b123a7c0dc92d5ef&amp;refType=RP&amp;fi=co_pp_sp_780_749&amp;originationContext=document&amp;vr=3.0&amp;rs=cblt1.0&amp;transitionType=DocumentItem&amp;contextData=(sc.Default)#co_pp_sp_780_749"/>
  <Relationship Id="r130"
    Type="http://schemas.openxmlformats.org/officeDocument/2006/relationships/hyperlink"
    TargetMode="External"
    Target="https://1.next.westlaw.com/Link/RelatedInformation/Flag?documentGuid=I2f0e77afe11d11dbaba7d9d29eb57eff&amp;transitionType=InlineKeyCiteFlags&amp;originationContext=docHeaderFlag&amp;Rank=0&amp;ppcid=9c0c0e510a8e4ce8b0f923e9c50cf25f&amp;contextData=(sc.Default)"/>
  <Relationship Id="r131"
    Type="http://schemas.openxmlformats.org/officeDocument/2006/relationships/hyperlink"
    TargetMode="External"
    Target="http://www.westlaw.com/Link/Document/FullText?findType=Y&amp;serNum=2011843426&amp;pubNum=0000780&amp;originatingDoc=I918d9430103711e7b123a7c0dc92d5ef&amp;refType=RP&amp;fi=co_pp_sp_780_527&amp;originationContext=document&amp;vr=3.0&amp;rs=cblt1.0&amp;transitionType=DocumentItem&amp;contextData=(sc.Default)#co_pp_sp_780_527"/>
  <Relationship Id="r132"
    Type="http://schemas.openxmlformats.org/officeDocument/2006/relationships/hyperlink"
    TargetMode="External"
    Target="https://1.next.westlaw.com/Link/RelatedInformation/Flag?documentGuid=I2f0e77afe11d11dbaba7d9d29eb57eff&amp;transitionType=InlineKeyCiteFlags&amp;originationContext=docHeaderFlag&amp;Rank=0&amp;ppcid=9c0c0e510a8e4ce8b0f923e9c50cf25f&amp;contextData=(sc.Default)"/>
  <Relationship Id="r133"
    Type="http://schemas.openxmlformats.org/officeDocument/2006/relationships/hyperlink"
    TargetMode="External"
    Target="http://www.westlaw.com/Link/Document/FullText?findType=Y&amp;serNum=2011843426&amp;pubNum=0000780&amp;originatingDoc=I918d9430103711e7b123a7c0dc92d5ef&amp;refType=RP&amp;originationContext=document&amp;vr=3.0&amp;rs=cblt1.0&amp;transitionType=DocumentItem&amp;contextData=(sc.Default)"/>
  <Relationship Id="r134"
    Type="http://schemas.openxmlformats.org/officeDocument/2006/relationships/hyperlink"
    TargetMode="External"
    Target="https://1.next.westlaw.com/Link/RelatedInformation/Flag?documentGuid=I7672bb5294f111d993e6d35cc61aab4a&amp;transitionType=InlineKeyCiteFlags&amp;originationContext=docHeaderFlag&amp;Rank=0&amp;ppcid=9c0c0e510a8e4ce8b0f923e9c50cf25f&amp;contextData=(sc.Default)"/>
  <Relationship Id="r135"
    Type="http://schemas.openxmlformats.org/officeDocument/2006/relationships/hyperlink"
    TargetMode="External"
    Target="http://www.westlaw.com/Link/Document/FullText?findType=Y&amp;serNum=1987024111&amp;pubNum=0000350&amp;originatingDoc=I918d9430103711e7b123a7c0dc92d5ef&amp;refType=RP&amp;fi=co_pp_sp_350_4&amp;originationContext=document&amp;vr=3.0&amp;rs=cblt1.0&amp;transitionType=DocumentItem&amp;contextData=(sc.Default)#co_pp_sp_350_4"/>
  <Relationship Id="r136"
    Type="http://schemas.openxmlformats.org/officeDocument/2006/relationships/hyperlink"
    TargetMode="External"
    Target="https://1.next.westlaw.com/Link/RelatedInformation/Flag?documentGuid=I2f0e77afe11d11dbaba7d9d29eb57eff&amp;transitionType=InlineKeyCiteFlags&amp;originationContext=docHeaderFlag&amp;Rank=0&amp;ppcid=9c0c0e510a8e4ce8b0f923e9c50cf25f&amp;contextData=(sc.Default)"/>
  <Relationship Id="r137"
    Type="http://schemas.openxmlformats.org/officeDocument/2006/relationships/hyperlink"
    TargetMode="External"
    Target="http://www.westlaw.com/Link/Document/FullText?findType=Y&amp;serNum=2011843426&amp;pubNum=0000780&amp;originatingDoc=I918d9430103711e7b123a7c0dc92d5ef&amp;refType=RP&amp;originationContext=document&amp;vr=3.0&amp;rs=cblt1.0&amp;transitionType=DocumentItem&amp;contextData=(sc.Default)"/>
  <Relationship Id="r138"
    Type="http://schemas.openxmlformats.org/officeDocument/2006/relationships/hyperlink"
    TargetMode="External"
    Target="https://1.next.westlaw.com/Link/RelatedInformation/Flag?documentGuid=I2f0e77afe11d11dbaba7d9d29eb57eff&amp;transitionType=InlineKeyCiteFlags&amp;originationContext=docHeaderFlag&amp;Rank=0&amp;ppcid=9c0c0e510a8e4ce8b0f923e9c50cf25f&amp;contextData=(sc.Default)"/>
  <Relationship Id="r139"
    Type="http://schemas.openxmlformats.org/officeDocument/2006/relationships/hyperlink"
    TargetMode="External"
    Target="http://www.westlaw.com/Link/Document/FullText?findType=Y&amp;serNum=2011843426&amp;pubNum=0000780&amp;originatingDoc=I918d9430103711e7b123a7c0dc92d5ef&amp;refType=RP&amp;fi=co_pp_sp_780_528&amp;originationContext=document&amp;vr=3.0&amp;rs=cblt1.0&amp;transitionType=DocumentItem&amp;contextData=(sc.Default)#co_pp_sp_780_528"/>
  <Relationship Id="r140"
    Type="http://schemas.openxmlformats.org/officeDocument/2006/relationships/hyperlink"
    TargetMode="External"
    Target="https://1.next.westlaw.com/Link/RelatedInformation/Flag?documentGuid=I5ab5f6269be911d9bc61beebb95be672&amp;transitionType=InlineKeyCiteFlags&amp;originationContext=docHeaderFlag&amp;Rank=0&amp;ppcid=9c0c0e510a8e4ce8b0f923e9c50cf25f&amp;contextData=(sc.Default)"/>
  <Relationship Id="r141"
    Type="http://schemas.openxmlformats.org/officeDocument/2006/relationships/hyperlink"
    TargetMode="External"
    Target="http://www.westlaw.com/Link/Document/FullText?findType=Y&amp;serNum=1972127146&amp;pubNum=0000780&amp;originatingDoc=I918d9430103711e7b123a7c0dc92d5ef&amp;refType=RP&amp;fi=co_pp_sp_780_749&amp;originationContext=document&amp;vr=3.0&amp;rs=cblt1.0&amp;transitionType=DocumentItem&amp;contextData=(sc.Default)#co_pp_sp_780_749"/>
  <Relationship Id="r142"
    Type="http://schemas.openxmlformats.org/officeDocument/2006/relationships/hyperlink"
    TargetMode="External"
    Target="http://www.westlaw.com/Link/Document/FullText?findType=L&amp;pubNum=1000518&amp;cite=COCNART2S3&amp;originatingDoc=I918d9430103711e7b123a7c0dc92d5ef&amp;refType=LQ&amp;originationContext=document&amp;vr=3.0&amp;rs=cblt1.0&amp;transitionType=DocumentItem&amp;contextData=(sc.Default)"/>
  <Relationship Id="r143"
    Type="http://schemas.openxmlformats.org/officeDocument/2006/relationships/hyperlink"
    TargetMode="External"
    Target="http://www.westlaw.com/Link/Document/FullText?findType=Y&amp;serNum=2010390276&amp;pubNum=0004645&amp;originatingDoc=I918d9430103711e7b123a7c0dc92d5ef&amp;refType=RP&amp;fi=co_pp_sp_4645_660&amp;originationContext=document&amp;vr=3.0&amp;rs=cblt1.0&amp;transitionType=DocumentItem&amp;contextData=(sc.Default)#co_pp_sp_4645_660"/>
  <Relationship Id="r144"
    Type="http://schemas.openxmlformats.org/officeDocument/2006/relationships/hyperlink"
    TargetMode="External"
    Target="http://www.westlaw.com/Link/Document/FullText?findType=Y&amp;serNum=2025745676&amp;pubNum=0004645&amp;originatingDoc=I918d9430103711e7b123a7c0dc92d5ef&amp;refType=RP&amp;fi=co_pp_sp_4645_99&amp;originationContext=document&amp;vr=3.0&amp;rs=cblt1.0&amp;transitionType=DocumentItem&amp;contextData=(sc.Default)#co_pp_sp_4645_99"/>
  <Relationship Id="r145"
    Type="http://schemas.openxmlformats.org/officeDocument/2006/relationships/hyperlink"
    TargetMode="External"
    Target="http://www.westlaw.com/Link/Document/FullText?findType=h&amp;pubNum=176284&amp;cite=0108365601&amp;originatingDoc=I918d9430103711e7b123a7c0dc92d5ef&amp;refType=RQ&amp;originationContext=document&amp;vr=3.0&amp;rs=cblt1.0&amp;transitionType=DocumentItem&amp;contextData=(sc.Default)"/>
  <Relationship Id="r146"
    Type="http://schemas.openxmlformats.org/officeDocument/2006/relationships/hyperlink"
    TargetMode="External"
    Target="http://www.westlaw.com/Link/Document/FullText?findType=h&amp;pubNum=176284&amp;cite=0138766201&amp;originatingDoc=I918d9430103711e7b123a7c0dc92d5ef&amp;refType=RQ&amp;originationContext=document&amp;vr=3.0&amp;rs=cblt1.0&amp;transitionType=DocumentItem&amp;contextData=(sc.Default)"/>
  <Relationship Id="r147"
    Type="http://schemas.openxmlformats.org/officeDocument/2006/relationships/hyperlink"
    TargetMode="External"
    Target="http://www.westlaw.com/Link/Document/FullText?findType=h&amp;pubNum=176284&amp;cite=0138766201&amp;originatingDoc=I918d9430103711e7b123a7c0dc92d5ef&amp;refType=RQ&amp;originationContext=document&amp;vr=3.0&amp;rs=cblt1.0&amp;transitionType=DocumentItem&amp;contextData=(sc.Default)"/>
  <Relationship Id="r148"
    Type="http://schemas.openxmlformats.org/officeDocument/2006/relationships/hyperlink"
    TargetMode="External"
    Target="http://www.westlaw.com/Link/Document/FullText?findType=L&amp;pubNum=1000517&amp;cite=COSTS34-60-101&amp;originatingDoc=I918d9430103711e7b123a7c0dc92d5ef&amp;refType=LQ&amp;originationContext=document&amp;vr=3.0&amp;rs=cblt1.0&amp;transitionType=DocumentItem&amp;contextData=(sc.Default)"/>
  <Relationship Id="r149"
    Type="http://schemas.openxmlformats.org/officeDocument/2006/relationships/hyperlink"
    TargetMode="External"
    Target="http://www.westlaw.com/Link/Document/FullText?findType=L&amp;pubNum=1000517&amp;cite=COSTS34-60-130&amp;originatingDoc=I918d9430103711e7b123a7c0dc92d5ef&amp;refType=LQ&amp;originationContext=document&amp;vr=3.0&amp;rs=cblt1.0&amp;transitionType=DocumentItem&amp;contextData=(sc.Default)"/>
  <Relationship Id="r150"
    Type="http://schemas.openxmlformats.org/officeDocument/2006/relationships/hyperlink"
    TargetMode="External"
    Target="http://www.westlaw.com/Link/Document/FullText?findType=Y&amp;serNum=2018633956&amp;pubNum=0004645&amp;originatingDoc=I918d9430103711e7b123a7c0dc92d5ef&amp;refType=RP&amp;fi=co_pp_sp_4645_1164&amp;originationContext=document&amp;vr=3.0&amp;rs=cblt1.0&amp;transitionType=DocumentItem&amp;contextData=(sc.Default)#co_pp_sp_4645_1164"/>
  <Relationship Id="r151"
    Type="http://schemas.openxmlformats.org/officeDocument/2006/relationships/hyperlink"
    TargetMode="External"
    Target="https://1.next.westlaw.com/Link/RelatedInformation/Flag?documentGuid=I1d248e419c9711d993e6d35cc61aab4a&amp;transitionType=InlineKeyCiteFlags&amp;originationContext=docHeaderFlag&amp;Rank=0&amp;ppcid=9c0c0e510a8e4ce8b0f923e9c50cf25f&amp;contextData=(sc.Default)"/>
  <Relationship Id="r152"
    Type="http://schemas.openxmlformats.org/officeDocument/2006/relationships/hyperlink"
    TargetMode="External"
    Target="http://www.westlaw.com/Link/Document/FullText?findType=Y&amp;serNum=1984130736&amp;pubNum=0000780&amp;originatingDoc=I918d9430103711e7b123a7c0dc92d5ef&amp;refType=RP&amp;fi=co_pp_sp_780_844&amp;originationContext=document&amp;vr=3.0&amp;rs=cblt1.0&amp;transitionType=DocumentItem&amp;contextData=(sc.Default)#co_pp_sp_780_844"/>
  <Relationship Id="r153"
    Type="http://schemas.openxmlformats.org/officeDocument/2006/relationships/hyperlink"
    TargetMode="External"
    Target="http://www.westlaw.com/Link/Document/FullText?findType=L&amp;pubNum=1000517&amp;cite=COSTS34-60-102&amp;originatingDoc=I918d9430103711e7b123a7c0dc92d5ef&amp;refType=SP&amp;originationContext=document&amp;vr=3.0&amp;rs=cblt1.0&amp;transitionType=DocumentItem&amp;contextData=(sc.Default)#co_pp_ddbe0000103c1"/>
  <Relationship Id="r154"
    Type="http://schemas.openxmlformats.org/officeDocument/2006/relationships/hyperlink"
    TargetMode="External"
    Target="http://www.westlaw.com/Link/Document/FullText?findType=Y&amp;serNum=2033766126&amp;pubNum=0004645&amp;originatingDoc=I918d9430103711e7b123a7c0dc92d5ef&amp;refType=RP&amp;originationContext=document&amp;vr=3.0&amp;rs=cblt1.0&amp;transitionType=DocumentItem&amp;contextData=(sc.Default)"/>
  <Relationship Id="r155"
    Type="http://schemas.openxmlformats.org/officeDocument/2006/relationships/hyperlink"
    TargetMode="External"
    Target="http://www.westlaw.com/Link/Document/FullText?findType=L&amp;pubNum=1000517&amp;cite=COSTS2-4-203&amp;originatingDoc=I918d9430103711e7b123a7c0dc92d5ef&amp;refType=SP&amp;originationContext=document&amp;vr=3.0&amp;rs=cblt1.0&amp;transitionType=DocumentItem&amp;contextData=(sc.Default)#co_pp_14d800005a0d0"/>
  <Relationship Id="r156"
    Type="http://schemas.openxmlformats.org/officeDocument/2006/relationships/hyperlink"
    TargetMode="External"
    Target="http://www.westlaw.com/Link/Document/FullText?findType=Y&amp;serNum=2040136123&amp;pubNum=0007780&amp;originatingDoc=I918d9430103711e7b123a7c0dc92d5ef&amp;refType=RP&amp;originationContext=document&amp;vr=3.0&amp;rs=cblt1.0&amp;transitionType=DocumentItem&amp;contextData=(sc.Default)"/>
  <Relationship Id="r157"
    Type="http://schemas.openxmlformats.org/officeDocument/2006/relationships/hyperlink"
    TargetMode="External"
    Target="http://www.westlaw.com/Link/Document/FullText?findType=Y&amp;serNum=1983130549&amp;pubNum=0000661&amp;originatingDoc=I918d9430103711e7b123a7c0dc92d5ef&amp;refType=RP&amp;fi=co_pp_sp_661_1029&amp;originationContext=document&amp;vr=3.0&amp;rs=cblt1.0&amp;transitionType=DocumentItem&amp;contextData=(sc.Default)#co_pp_sp_661_1029"/>
  <Relationship Id="r158"
    Type="http://schemas.openxmlformats.org/officeDocument/2006/relationships/hyperlink"
    TargetMode="External"
    Target="https://1.next.westlaw.com/Link/RelatedInformation/Flag?documentGuid=N84287A00DEEE11EBB999A3C52DA54ECC&amp;transitionType=InlineKeyCiteFlags&amp;originationContext=docHeaderFlag&amp;Rank=0&amp;ppcid=9c0c0e510a8e4ce8b0f923e9c50cf25f&amp;contextData=(sc.Default)"/>
  <Relationship Id="r159"
    Type="http://schemas.openxmlformats.org/officeDocument/2006/relationships/hyperlink"
    TargetMode="External"
    Target="http://www.westlaw.com/Link/Document/FullText?findType=L&amp;pubNum=1000517&amp;cite=COSTS34-60-106&amp;originatingDoc=I918d9430103711e7b123a7c0dc92d5ef&amp;refType=SP&amp;originationContext=document&amp;vr=3.0&amp;rs=cblt1.0&amp;transitionType=DocumentItem&amp;contextData=(sc.Default)#co_pp_93670000bd080"/>
  <Relationship Id="r160"
    Type="http://schemas.openxmlformats.org/officeDocument/2006/relationships/hyperlink"
    TargetMode="External"
    Target="http://www.westlaw.com/Link/Document/FullText?findType=Y&amp;serNum=2038781713&amp;pubNum=0004645&amp;originatingDoc=I918d9430103711e7b123a7c0dc92d5ef&amp;refType=RP&amp;originationContext=document&amp;vr=3.0&amp;rs=cblt1.0&amp;transitionType=DocumentItem&amp;contextData=(sc.Default)"/>
  <Relationship Id="r161"
    Type="http://schemas.openxmlformats.org/officeDocument/2006/relationships/hyperlink"
    TargetMode="External"
    Target="http://www.westlaw.com/Link/Document/FullText?findType=Y&amp;serNum=2038781674&amp;pubNum=0004645&amp;originatingDoc=I918d9430103711e7b123a7c0dc92d5ef&amp;refType=RP&amp;originationContext=document&amp;vr=3.0&amp;rs=cblt1.0&amp;transitionType=DocumentItem&amp;contextData=(sc.Default)"/>
  <Relationship Id="r162"
    Type="http://schemas.openxmlformats.org/officeDocument/2006/relationships/hyperlink"
    TargetMode="External"
    Target="http://www.westlaw.com/Link/Document/FullText?findType=L&amp;pubNum=1000518&amp;cite=COCNART6S5&amp;originatingDoc=I918d9430103711e7b123a7c0dc92d5ef&amp;refType=LQ&amp;originationContext=document&amp;vr=3.0&amp;rs=cblt1.0&amp;transitionType=DocumentItem&amp;contextData=(sc.Default)"/>
  <Relationship Id="r163"
    Type="http://schemas.openxmlformats.org/officeDocument/2006/relationships/hyperlink"
    TargetMode="External"
    Target="http://www.westlaw.com/Link/Document/FullText?findType=L&amp;pubNum=1000517&amp;cite=COSTS24-51-1105&amp;originatingDoc=I918d9430103711e7b123a7c0dc92d5ef&amp;refType=LQ&amp;originationContext=document&amp;vr=3.0&amp;rs=cblt1.0&amp;transitionType=DocumentItem&amp;contextData=(sc.Default)"/>
  <Relationship Id="r164"
    Type="http://schemas.openxmlformats.org/officeDocument/2006/relationships/hyperlink"
    TargetMode="External"
    Target="http://www.westlaw.com/Link/Document/FullText?findType=Y&amp;serNum=2038781674&amp;pubNum=0004645&amp;originatingDoc=I918d9430103711e7b123a7c0dc92d5ef&amp;refType=RP&amp;originationContext=document&amp;vr=3.0&amp;rs=cblt1.0&amp;transitionType=DocumentItem&amp;contextData=(sc.Default)"/>
  <Relationship Id="r165"
    Type="http://schemas.openxmlformats.org/officeDocument/2006/relationships/hyperlink"
    TargetMode="External"
    Target="http://www.westlaw.com/Link/Document/FullText?findType=Y&amp;serNum=2038781674&amp;pubNum=0007779&amp;originatingDoc=I918d9430103711e7b123a7c0dc92d5ef&amp;refType=RP&amp;originationContext=document&amp;vr=3.0&amp;rs=cblt1.0&amp;transitionType=DocumentItem&amp;contextData=(sc.Default)"/>
  <Relationship Id="r166"
    Type="http://schemas.openxmlformats.org/officeDocument/2006/relationships/hyperlink"
    TargetMode="External"
    Target="http://www.westlaw.com/Link/Document/FullText?findType=Y&amp;serNum=2029093255&amp;pubNum=0004645&amp;originatingDoc=I918d9430103711e7b123a7c0dc92d5ef&amp;refType=RP&amp;originationContext=document&amp;vr=3.0&amp;rs=cblt1.0&amp;transitionType=DocumentItem&amp;contextData=(sc.Default)"/>
  <Relationship Id="r167"
    Type="http://schemas.openxmlformats.org/officeDocument/2006/relationships/hyperlink"
    TargetMode="External"
    Target="http://www.westlaw.com/Link/Document/FullText?findType=L&amp;pubNum=1000517&amp;cite=COSTS24-91-101&amp;originatingDoc=I918d9430103711e7b123a7c0dc92d5ef&amp;refType=SP&amp;originationContext=document&amp;vr=3.0&amp;rs=cblt1.0&amp;transitionType=DocumentItem&amp;contextData=(sc.Default)#co_pp_58730000872b1"/>
  <Relationship Id="r168"
    Type="http://schemas.openxmlformats.org/officeDocument/2006/relationships/hyperlink"
    TargetMode="External"
    Target="http://www.westlaw.com/Link/Document/FullText?findType=L&amp;pubNum=1000517&amp;cite=COSTS6-1-902&amp;originatingDoc=I918d9430103711e7b123a7c0dc92d5ef&amp;refType=SP&amp;originationContext=document&amp;vr=3.0&amp;rs=cblt1.0&amp;transitionType=DocumentItem&amp;contextData=(sc.Default)#co_pp_626f000023d46"/>
  <Relationship Id="r169"
    Type="http://schemas.openxmlformats.org/officeDocument/2006/relationships/hyperlink"
    TargetMode="External"
    Target="http://www.westlaw.com/Link/Document/FullText?findType=L&amp;pubNum=1000517&amp;cite=COSTS34-60-102&amp;originatingDoc=I918d9430103711e7b123a7c0dc92d5ef&amp;refType=SP&amp;originationContext=document&amp;vr=3.0&amp;rs=cblt1.0&amp;transitionType=DocumentItem&amp;contextData=(sc.Default)#co_pp_ddbe0000103c1"/>
  <Relationship Id="r170"
    Type="http://schemas.openxmlformats.org/officeDocument/2006/relationships/hyperlink"
    TargetMode="External"
    Target="https://1.next.westlaw.com/Link/RelatedInformation/Flag?documentGuid=I525bd9e2f58f11d983e7e9deff98dc6f&amp;transitionType=InlineKeyCiteFlags&amp;originationContext=docHeaderFlag&amp;Rank=0&amp;ppcid=9c0c0e510a8e4ce8b0f923e9c50cf25f&amp;contextData=(sc.Default)"/>
  <Relationship Id="r171"
    Type="http://schemas.openxmlformats.org/officeDocument/2006/relationships/hyperlink"
    TargetMode="External"
    Target="http://www.westlaw.com/Link/Document/FullText?findType=Y&amp;serNum=2001549358&amp;pubNum=0004645&amp;originatingDoc=I918d9430103711e7b123a7c0dc92d5ef&amp;refType=RP&amp;fi=co_pp_sp_4645_57&amp;originationContext=document&amp;vr=3.0&amp;rs=cblt1.0&amp;transitionType=DocumentItem&amp;contextData=(sc.Default)#co_pp_sp_4645_57"/>
  <Relationship Id="r172"
    Type="http://schemas.openxmlformats.org/officeDocument/2006/relationships/hyperlink"
    TargetMode="External"
    Target="https://1.next.westlaw.com/Link/RelatedInformation/Flag?documentGuid=I3729a830a55c11e6ac07a76176915fee&amp;transitionType=InlineKeyCiteFlags&amp;originationContext=docHeaderFlag&amp;Rank=0&amp;ppcid=9c0c0e510a8e4ce8b0f923e9c50cf25f&amp;contextData=(sc.Default)"/>
  <Relationship Id="r173"
    Type="http://schemas.openxmlformats.org/officeDocument/2006/relationships/hyperlink"
    TargetMode="External"
    Target="http://www.westlaw.com/Link/Document/FullText?findType=Y&amp;serNum=2040258719&amp;pubNum=0004645&amp;originatingDoc=I918d9430103711e7b123a7c0dc92d5ef&amp;refType=RP&amp;originationContext=document&amp;vr=3.0&amp;rs=cblt1.0&amp;transitionType=DocumentItem&amp;contextData=(sc.Default)"/>
  <Relationship Id="r174"
    Type="http://schemas.openxmlformats.org/officeDocument/2006/relationships/hyperlink"
    TargetMode="External"
    Target="https://1.next.westlaw.com/Link/RelatedInformation/Flag?documentGuid=I4cff34c1f3a411d983e7e9deff98dc6f&amp;transitionType=InlineKeyCiteFlags&amp;originationContext=docHeaderFlag&amp;Rank=0&amp;ppcid=9c0c0e510a8e4ce8b0f923e9c50cf25f&amp;contextData=(sc.Default)"/>
  <Relationship Id="r175"
    Type="http://schemas.openxmlformats.org/officeDocument/2006/relationships/hyperlink"
    TargetMode="External"
    Target="http://www.westlaw.com/Link/Document/FullText?findType=Y&amp;serNum=1989177182&amp;pubNum=0000661&amp;originatingDoc=I918d9430103711e7b123a7c0dc92d5ef&amp;refType=RP&amp;fi=co_pp_sp_661_765&amp;originationContext=document&amp;vr=3.0&amp;rs=cblt1.0&amp;transitionType=DocumentItem&amp;contextData=(sc.Default)#co_pp_sp_661_765"/>
  <Relationship Id="r176"
    Type="http://schemas.openxmlformats.org/officeDocument/2006/relationships/hyperlink"
    TargetMode="External"
    Target="https://1.next.westlaw.com/Link/RelatedInformation/Flag?documentGuid=I36899b55f78111d98ac8f235252e36df&amp;transitionType=InlineKeyCiteFlags&amp;originationContext=docHeaderFlag&amp;Rank=0&amp;ppcid=9c0c0e510a8e4ce8b0f923e9c50cf25f&amp;contextData=(sc.Default)"/>
  <Relationship Id="r177"
    Type="http://schemas.openxmlformats.org/officeDocument/2006/relationships/hyperlink"
    TargetMode="External"
    Target="http://www.westlaw.com/Link/Document/FullText?findType=Y&amp;serNum=1991169932&amp;pubNum=0000661&amp;originatingDoc=I918d9430103711e7b123a7c0dc92d5ef&amp;refType=RP&amp;fi=co_pp_sp_661_1180&amp;originationContext=document&amp;vr=3.0&amp;rs=cblt1.0&amp;transitionType=DocumentItem&amp;contextData=(sc.Default)#co_pp_sp_661_1180"/>
  <Relationship Id="r178"
    Type="http://schemas.openxmlformats.org/officeDocument/2006/relationships/hyperlink"
    TargetMode="External"
    Target="https://1.next.westlaw.com/Link/RelatedInformation/Flag?documentGuid=Ia49edd69f59411d98ac8f235252e36df&amp;transitionType=InlineKeyCiteFlags&amp;originationContext=docHeaderFlag&amp;Rank=0&amp;ppcid=9c0c0e510a8e4ce8b0f923e9c50cf25f&amp;contextData=(sc.Default)"/>
  <Relationship Id="r179"
    Type="http://schemas.openxmlformats.org/officeDocument/2006/relationships/hyperlink"
    TargetMode="External"
    Target="http://www.westlaw.com/Link/Document/FullText?findType=Y&amp;serNum=2003183950&amp;pubNum=0004645&amp;originatingDoc=I918d9430103711e7b123a7c0dc92d5ef&amp;refType=RP&amp;fi=co_pp_sp_4645_559&amp;originationContext=document&amp;vr=3.0&amp;rs=cblt1.0&amp;transitionType=DocumentItem&amp;contextData=(sc.Default)#co_pp_sp_4645_559"/>
  <Relationship Id="r180"
    Type="http://schemas.openxmlformats.org/officeDocument/2006/relationships/hyperlink"
    TargetMode="External"
    Target="https://1.next.westlaw.com/Link/RelatedInformation/Flag?documentGuid=I1d14ae261d4f11deb77d9846f86fae5c&amp;transitionType=InlineKeyCiteFlags&amp;originationContext=docHeaderFlag&amp;Rank=0&amp;ppcid=9c0c0e510a8e4ce8b0f923e9c50cf25f&amp;contextData=(sc.Default)"/>
  <Relationship Id="r181"
    Type="http://schemas.openxmlformats.org/officeDocument/2006/relationships/hyperlink"
    TargetMode="External"
    Target="http://www.westlaw.com/Link/Document/FullText?findType=Y&amp;serNum=2018494873&amp;pubNum=0004645&amp;originatingDoc=I918d9430103711e7b123a7c0dc92d5ef&amp;refType=RP&amp;fi=co_pp_sp_4645_470&amp;originationContext=document&amp;vr=3.0&amp;rs=cblt1.0&amp;transitionType=DocumentItem&amp;contextData=(sc.Default)#co_pp_sp_4645_470"/>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918d9430103711e7b123a7c0dc92d5ef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Red Flag - Severe Negative Treatment"/>
              <a:graphic>
                <a:graphicData uri="http://schemas.openxmlformats.org/drawingml/2006/picture">
                  <p:pic>
                    <p:nvPicPr>
                      <p:cNvPr id="2" name="Picture 1" descr="KeyCite Red Flag - Severe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Red Flag - Severe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Judgment Reversed by </w:t>
      </w:r>
      <w:hyperlink r:id="r9">
        <w:r>
          <w:rPr>
            <w:rFonts w:ascii="Times New Roman" w:hAnsi="Times New Roman"/>
            <w:color w:val="000000"/>
            <w:sz w:val="16"/>
          </w:rPr>
          <w:t>Colorado Oil and Gas Conservation Commission v. Martinez</w:t>
        </w:r>
        <w:r>
          <w:rPr>
            <w:rFonts w:ascii="Times New Roman" w:hAnsi="Times New Roman"/>
            <w:color w:val="000000"/>
            <w:sz w:val="16"/>
          </w:rPr>
          <w:t xml:space="preserve">, </w:t>
        </w:r>
      </w:hyperlink>
      <w:r>
        <w:rPr>
          <w:rFonts w:ascii="Times New Roman" w:hAnsi="Times New Roman"/>
          <w:color w:val="000000"/>
          <w:sz w:val="16"/>
        </w:rPr>
        <w:t xml:space="preserve">Colo., </w:t>
      </w:r>
      <w:r>
        <w:rPr>
          <w:rFonts w:ascii="Times New Roman" w:hAnsi="Times New Roman"/>
          <w:color w:val="000000"/>
          <w:sz w:val="16"/>
        </w:rPr>
        <w:t>January 14, 2019</w:t>
      </w:r>
    </w:p>
    <w:bookmarkEnd w:id="4"/>
    <w:p>
      <w:pPr>
        <w:spacing w:before="180" w:after="0" w:line="275" w:lineRule="atLeast"/>
        <w:jc w:val="center"/>
      </w:pPr>
      <w:r>
        <w:rPr>
          <w:rFonts w:ascii="georgia" w:hAnsi="georgia"/>
          <w:color w:val="000000"/>
          <w:sz w:val="20"/>
        </w:rPr>
        <w:t>434 P.3d 689</w:t>
      </w:r>
    </w:p>
    <w:p>
      <w:pPr>
        <w:spacing w:before="0" w:after="0" w:line="275" w:lineRule="atLeast"/>
        <w:jc w:val="center"/>
      </w:pPr>
      <w:r>
        <w:rPr>
          <w:rFonts w:ascii="georgia" w:hAnsi="georgia"/>
          <w:color w:val="000000"/>
          <w:sz w:val="20"/>
        </w:rPr>
        <w:t>Colorado Court of Appeals, Division V.</w:t>
      </w:r>
    </w:p>
    <w:p>
      <w:pPr>
        <w:spacing w:before="200" w:after="0" w:line="300" w:lineRule="atLeast"/>
        <w:ind w:left="100" w:right="100" w:firstLine="0"/>
        <w:jc w:val="center"/>
      </w:pPr>
      <w:r>
        <w:rPr>
          <w:rFonts w:ascii="georgia" w:hAnsi="georgia"/>
          <w:color w:val="252525"/>
          <w:sz w:val="20"/>
        </w:rPr>
        <w:t>Xiuhtezcatl MARTINEZ, Itzcuahtli Roske-Martinez, Sonora Brinkley, Aerielle Deering, Trinity Carter, and Emma Bray, minors appearing by and through their legal guardians Tamara Roske, Bindi Brinkley, Eleni Deering, Jasmine Jones, Robin Ruston, and Diana Bray, Plaintiffs-Appellants,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COLORADO OIL AND GAS CONSERVATION COMMISSION, Defendant-Appellee,</w:t>
      </w:r>
    </w:p>
    <w:p>
      <w:pPr>
        <w:spacing w:before="0" w:after="0" w:line="300" w:lineRule="atLeast"/>
        <w:ind w:left="100" w:right="100" w:firstLine="0"/>
        <w:jc w:val="center"/>
      </w:pPr>
      <w:r>
        <w:rPr>
          <w:rFonts w:ascii="georgia" w:hAnsi="georgia"/>
          <w:color w:val="252525"/>
          <w:sz w:val="20"/>
        </w:rPr>
        <w:t>and</w:t>
      </w:r>
    </w:p>
    <w:p>
      <w:pPr>
        <w:spacing w:before="0" w:after="0" w:line="300" w:lineRule="atLeast"/>
        <w:ind w:left="100" w:right="100" w:firstLine="0"/>
        <w:jc w:val="center"/>
      </w:pPr>
      <w:r>
        <w:rPr>
          <w:rFonts w:ascii="georgia" w:hAnsi="georgia"/>
          <w:color w:val="252525"/>
          <w:sz w:val="20"/>
        </w:rPr>
        <w:t>American Petroleum Institute and Colorado Petroleum Association, Intervenors-Appellees.</w:t>
      </w:r>
    </w:p>
    <w:p>
      <w:pPr>
        <w:pBdr>
          <w:left w:val="none" w:space="8"/>
        </w:pBdr>
        <w:spacing w:before="200" w:after="0" w:line="275" w:lineRule="atLeast"/>
        <w:ind w:left="150" w:right="0" w:firstLine="0"/>
        <w:jc w:val="center"/>
      </w:pPr>
      <w:r>
        <w:rPr>
          <w:rFonts w:ascii="georgia" w:hAnsi="georgia"/>
          <w:color w:val="000000"/>
          <w:sz w:val="20"/>
        </w:rPr>
        <w:t>Court of Appeals No. 16CA0564</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Announced March 23, 2017</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State residents sought review of order of Oil and Gas Conservation Commission denying residents' rulemaking petition. The District Court, City and County of Denver, No. 14CV32637, J. Eric Elliff, J., affirmed. Residents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hyperlink w:anchor="co_anchor_F32041293414_1">
        <w:r>
          <w:rPr>
            <w:rFonts w:ascii="Times New Roman" w:hAnsi="Times New Roman"/>
            <w:b/>
            <w:color w:val="000000"/>
            <w:sz w:val="20"/>
          </w:rPr>
          <w:t>[Holding:]</w:t>
        </w:r>
      </w:hyperlink>
      <w:r>
        <w:rPr>
          <w:rFonts w:ascii="Times New Roman" w:hAnsi="Times New Roman"/>
          <w:color w:val="000000"/>
          <w:sz w:val="20"/>
        </w:rPr>
        <w:t xml:space="preserve"> The Court of Appeals, </w:t>
      </w:r>
      <w:hyperlink r:id="r10">
        <w:r>
          <w:rPr>
            <w:rFonts w:ascii="Times New Roman" w:hAnsi="Times New Roman"/>
            <w:color w:val="000000"/>
            <w:sz w:val="20"/>
          </w:rPr>
          <w:t>Fox</w:t>
        </w:r>
      </w:hyperlink>
      <w:r>
        <w:rPr>
          <w:rFonts w:ascii="Times New Roman" w:hAnsi="Times New Roman"/>
          <w:color w:val="000000"/>
          <w:sz w:val="20"/>
        </w:rPr>
        <w:t>, J., held that provision of the Oil and Gas Conservation Act declaring it in public interest to foster responsible, balanced development, production, and utilization of oil and gas “in a manner consistent with” protection of public health, safety, and welfare, including protection of the environment and wildlife resources, does not indicate a balancing test but rather a condition that must be fulfilled.</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Reversed and remanded.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1">
        <w:r>
          <w:rPr>
            <w:rFonts w:ascii="Times New Roman" w:hAnsi="Times New Roman"/>
            <w:color w:val="000000"/>
            <w:sz w:val="20"/>
          </w:rPr>
          <w:t>Booras</w:t>
        </w:r>
      </w:hyperlink>
      <w:r>
        <w:rPr>
          <w:rFonts w:ascii="Times New Roman" w:hAnsi="Times New Roman"/>
          <w:color w:val="000000"/>
          <w:sz w:val="20"/>
        </w:rPr>
        <w:t>, J., filed dissenting opinion.</w:t>
      </w:r>
    </w:p>
    <w:p>
      <w:pPr>
        <w:spacing w:before="0" w:after="0" w:line="275" w:lineRule="atLeast"/>
        <w:jc w:val="both"/>
      </w:pPr>
      <w:r>
        <w:rPr>
          <w:rFonts w:ascii="Times New Roman" w:hAnsi="Times New Roman"/>
          <w:color w:val="000000"/>
          <w:sz w:val="20"/>
        </w:rPr>
        <w:t> </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(3)</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2041293414001_1"/>
      <w:bookmarkStart w:id="10" w:name="co_headnotesTable_1"/>
      <w:tr>
        <w:tblPrEx/>
        <w:trPr/>
        <w:tc>
          <w:tcPr>
            <w:tcMar>
              <w:left w:w="30" w:type="dxa"/>
              <w:right w:w="30" w:type="dxa"/>
            </w:tcMar>
            <w:vAlign w:val="top"/>
          </w:tcPr>
          <w:p>
            <w:pPr>
              <w:spacing w:before="0" w:after="0" w:line="275" w:lineRule="atLeast"/>
            </w:pPr>
            <w:bookmarkStart w:id="11" w:name="co_anchor_F12041293414_1"/>
            <w:bookmarkStart w:id="12" w:name="co_anchor_headNote_[1]_1"/>
            <w:hyperlink w:anchor="co_anchor_B12041293414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12">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19"/>
                          <a:srcRect/>
                          <a:stretch>
                            <a:fillRect/>
                          </a:stretch>
                        </p:blipFill>
                        <p:spPr>
                          <a:xfrm>
                            <a:off x="0" y="0"/>
                            <a:ext cx="133350" cy="76200"/>
                          </a:xfrm>
                          <a:prstGeom prst="rect"/>
                        </p:spPr>
                      </p:pic>
                    </a:graphicData>
                  </a:graphic>
                </wp:inline>
              </w:drawing>
            </w:r>
            <w:hyperlink r:id="r13">
              <w:r>
                <w:rPr>
                  <w:rFonts w:ascii="Times New Roman" w:hAnsi="Times New Roman"/>
                  <w:color w:val="000000"/>
                  <w:sz w:val="20"/>
                </w:rPr>
                <w:t>Province of, and deference to, agency in general</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5">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16">
              <w:r>
                <w:rPr>
                  <w:rFonts w:ascii="Times New Roman" w:hAnsi="Times New Roman"/>
                  <w:color w:val="000000"/>
                  <w:sz w:val="18"/>
                </w:rPr>
                <w:t>15AIV(G)</w:t>
              </w:r>
            </w:hyperlink>
            <w:r>
              <w:rPr>
                <w:rFonts w:ascii="Times New Roman" w:hAnsi="Times New Roman"/>
                <w:color w:val="000000"/>
                <w:sz w:val="18"/>
              </w:rPr>
              <w:t>Review</w:t>
            </w:r>
          </w:p>
          <w:p>
            <w:pPr>
              <w:spacing w:before="0" w:after="0" w:line="255" w:lineRule="atLeast"/>
            </w:pPr>
            <w:hyperlink r:id="r17">
              <w:r>
                <w:rPr>
                  <w:rFonts w:ascii="Times New Roman" w:hAnsi="Times New Roman"/>
                  <w:color w:val="000000"/>
                  <w:sz w:val="18"/>
                </w:rPr>
                <w:t>15AIV(G)7</w:t>
              </w:r>
            </w:hyperlink>
            <w:r>
              <w:rPr>
                <w:rFonts w:ascii="Times New Roman" w:hAnsi="Times New Roman"/>
                <w:color w:val="000000"/>
                <w:sz w:val="18"/>
              </w:rPr>
              <w:t>Findings</w:t>
            </w:r>
          </w:p>
          <w:p>
            <w:pPr>
              <w:spacing w:before="0" w:after="0" w:line="255" w:lineRule="atLeast"/>
            </w:pPr>
            <w:hyperlink r:id="r18">
              <w:r>
                <w:rPr>
                  <w:rFonts w:ascii="Times New Roman" w:hAnsi="Times New Roman"/>
                  <w:color w:val="000000"/>
                  <w:sz w:val="18"/>
                </w:rPr>
                <w:t>15Ak1814</w:t>
              </w:r>
            </w:hyperlink>
            <w:r>
              <w:rPr>
                <w:rFonts w:ascii="Times New Roman" w:hAnsi="Times New Roman"/>
                <w:color w:val="000000"/>
                <w:sz w:val="18"/>
              </w:rPr>
              <w:t>Province of, and deference to, agency in general</w:t>
            </w:r>
          </w:p>
          <w:p>
            <w:pPr>
              <w:spacing w:before="0" w:after="0" w:line="255" w:lineRule="atLeast"/>
            </w:pPr>
            <w:r>
              <w:rPr>
                <w:rFonts w:ascii="Times New Roman" w:hAnsi="Times New Roman"/>
                <w:color w:val="000000"/>
                <w:sz w:val="18"/>
              </w:rPr>
              <w:t>(Formerly 15Ak784.1)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district court exercises no factfinding authority in its review of an agency decision and is in the same position as the Court of Appeals, so the Court of Appeals engages in the same type of record review as did the district court.</w:t>
            </w:r>
          </w:p>
        </w:tc>
      </w:tr>
    </w:tbl>
    <w:p>
      <w:pPr>
        <w:spacing w:before="0" w:after="0" w:line="240" w:lineRule="auto"/>
        <w:rPr>
          <w:sz w:val="20"/>
        </w:rPr>
      </w:pPr>
    </w:p>
    <w:tbl>
      <w:tblPr>
        <w:tblInd w:w="30" w:type="dxa"/>
        <w:tblLayout w:type="fixed"/>
      </w:tblPr>
      <w:tblGrid>
        <w:gridCol w:w="600"/>
        <w:gridCol w:w="4035"/>
      </w:tblGrid>
      <w:bookmarkStart w:id="13" w:name="co_headnoteId_2041293414001202007241732"/>
      <w:bookmarkStart w:id="14" w:name="co_anchor_2041293414002_1"/>
      <w:bookmarkStart w:id="15" w:name="co_headnotesTable_0_1"/>
      <w:tr>
        <w:tblPrEx/>
        <w:trPr/>
        <w:tc>
          <w:tcPr>
            <w:tcMar>
              <w:left w:w="30" w:type="dxa"/>
              <w:right w:w="30" w:type="dxa"/>
            </w:tcMar>
            <w:vAlign w:val="top"/>
          </w:tcPr>
          <w:p>
            <w:pPr>
              <w:spacing w:before="0" w:after="0" w:line="275" w:lineRule="atLeast"/>
            </w:pPr>
            <w:bookmarkStart w:id="16" w:name="co_anchor_F22041293414_1"/>
            <w:bookmarkStart w:id="17" w:name="co_anchor_headNote_[2]_1"/>
            <w:hyperlink w:anchor="co_anchor_B22041293414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20">
              <w:r>
                <w:rPr>
                  <w:rFonts w:ascii="Times New Roman" w:hAnsi="Times New Roman"/>
                  <w:b/>
                  <w:color w:val="000000"/>
                  <w:sz w:val="20"/>
                </w:rPr>
                <w:t>Mines and Minerals</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19"/>
                          <a:srcRect/>
                          <a:stretch>
                            <a:fillRect/>
                          </a:stretch>
                        </p:blipFill>
                        <p:spPr>
                          <a:xfrm>
                            <a:off x="0" y="0"/>
                            <a:ext cx="133350" cy="76200"/>
                          </a:xfrm>
                          <a:prstGeom prst="rect"/>
                        </p:spPr>
                      </p:pic>
                    </a:graphicData>
                  </a:graphic>
                </wp:inline>
              </w:drawing>
            </w:r>
            <w:hyperlink r:id="r21">
              <w:r>
                <w:rPr>
                  <w:rFonts w:ascii="Times New Roman" w:hAnsi="Times New Roman"/>
                  <w:color w:val="000000"/>
                  <w:sz w:val="20"/>
                </w:rPr>
                <w:t>Powers and Proceedings of Commissions and Officers in General</w:t>
              </w:r>
            </w:hyperlink>
          </w:p>
        </w:tc>
      </w:tr>
      <w:bookmarkEnd w:id="15"/>
      <w:bookmarkEnd w:id="14"/>
      <w:bookmarkEnd w:id="1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2">
              <w:r>
                <w:rPr>
                  <w:rFonts w:ascii="Times New Roman" w:hAnsi="Times New Roman"/>
                  <w:color w:val="000000"/>
                  <w:sz w:val="18"/>
                </w:rPr>
                <w:t>260</w:t>
              </w:r>
            </w:hyperlink>
            <w:r>
              <w:rPr>
                <w:rFonts w:ascii="Times New Roman" w:hAnsi="Times New Roman"/>
                <w:color w:val="000000"/>
                <w:sz w:val="18"/>
              </w:rPr>
              <w:t>Mines and Minerals</w:t>
            </w:r>
          </w:p>
          <w:p>
            <w:pPr>
              <w:spacing w:before="0" w:after="0" w:line="255" w:lineRule="atLeast"/>
            </w:pPr>
            <w:hyperlink r:id="r23">
              <w:r>
                <w:rPr>
                  <w:rFonts w:ascii="Times New Roman" w:hAnsi="Times New Roman"/>
                  <w:color w:val="000000"/>
                  <w:sz w:val="18"/>
                </w:rPr>
                <w:t>260III</w:t>
              </w:r>
            </w:hyperlink>
            <w:r>
              <w:rPr>
                <w:rFonts w:ascii="Times New Roman" w:hAnsi="Times New Roman"/>
                <w:color w:val="000000"/>
                <w:sz w:val="18"/>
              </w:rPr>
              <w:t>Operation of Mines, Quarries, and Wells</w:t>
            </w:r>
          </w:p>
          <w:p>
            <w:pPr>
              <w:spacing w:before="0" w:after="0" w:line="255" w:lineRule="atLeast"/>
            </w:pPr>
            <w:hyperlink r:id="r24">
              <w:r>
                <w:rPr>
                  <w:rFonts w:ascii="Times New Roman" w:hAnsi="Times New Roman"/>
                  <w:color w:val="000000"/>
                  <w:sz w:val="18"/>
                </w:rPr>
                <w:t>260III(A)</w:t>
              </w:r>
            </w:hyperlink>
            <w:r>
              <w:rPr>
                <w:rFonts w:ascii="Times New Roman" w:hAnsi="Times New Roman"/>
                <w:color w:val="000000"/>
                <w:sz w:val="18"/>
              </w:rPr>
              <w:t>Statutory and Official Regulations</w:t>
            </w:r>
          </w:p>
          <w:p>
            <w:pPr>
              <w:spacing w:before="0" w:after="0" w:line="255" w:lineRule="atLeast"/>
            </w:pPr>
            <w:hyperlink r:id="r25">
              <w:r>
                <w:rPr>
                  <w:rFonts w:ascii="Times New Roman" w:hAnsi="Times New Roman"/>
                  <w:color w:val="000000"/>
                  <w:sz w:val="18"/>
                </w:rPr>
                <w:t>260k92.15</w:t>
              </w:r>
            </w:hyperlink>
            <w:r>
              <w:rPr>
                <w:rFonts w:ascii="Times New Roman" w:hAnsi="Times New Roman"/>
                <w:color w:val="000000"/>
                <w:sz w:val="18"/>
              </w:rPr>
              <w:t>Powers and Proceedings of Commissions and Officers in General</w:t>
            </w:r>
          </w:p>
          <w:p>
            <w:pPr>
              <w:spacing w:before="0" w:after="0" w:line="255" w:lineRule="atLeast"/>
            </w:pPr>
            <w:hyperlink r:id="r26">
              <w:r>
                <w:rPr>
                  <w:rFonts w:ascii="Times New Roman" w:hAnsi="Times New Roman"/>
                  <w:color w:val="000000"/>
                  <w:sz w:val="18"/>
                </w:rPr>
                <w:t>260k92.16</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Oil and Gas Conservation Commission is a creature of state statute and has only the powers conferred on it by the Oil and Gas Conservation Act. </w:t>
            </w:r>
            <w:hyperlink r:id="r27">
              <w:r>
                <w:rPr>
                  <w:rFonts w:ascii="Times New Roman" w:hAnsi="Times New Roman"/>
                  <w:color w:val="000000"/>
                  <w:sz w:val="20"/>
                </w:rPr>
                <w:t>Colo. Rev. Stat. Ann. § 34-60-105(1)</w:t>
              </w:r>
            </w:hyperlink>
            <w:r>
              <w:rPr>
                <w:rFonts w:ascii="Times New Roman" w:hAnsi="Times New Roman"/>
                <w:color w:val="000000"/>
                <w:sz w:val="20"/>
              </w:rPr>
              <w:t>.</w:t>
            </w:r>
          </w:p>
          <w:bookmarkStart w:id="18" w:name="co_headnoteId_2041293414002202007241732"/>
          <w:p>
            <w:pPr>
              <w:spacing w:before="200" w:after="0" w:line="275" w:lineRule="atLeast"/>
              <w:jc w:val="both"/>
            </w:pPr>
            <w:hyperlink r:id="r28">
              <w:r>
                <w:rPr>
                  <w:rFonts w:ascii="Times New Roman" w:hAnsi="Times New Roman"/>
                  <w:color w:val="000000"/>
                  <w:sz w:val="20"/>
                </w:rPr>
                <w:t>1 Cases that cite this headnote</w:t>
              </w:r>
            </w:hyperlink>
          </w:p>
          <w:bookmarkEnd w:id="18"/>
        </w:tc>
      </w:tr>
    </w:tbl>
    <w:p>
      <w:pPr>
        <w:spacing w:before="0" w:after="0" w:line="240" w:lineRule="auto"/>
        <w:rPr>
          <w:sz w:val="20"/>
        </w:rPr>
      </w:pPr>
    </w:p>
    <w:tbl>
      <w:tblPr>
        <w:tblInd w:w="30" w:type="dxa"/>
        <w:tblLayout w:type="fixed"/>
      </w:tblPr>
      <w:tblGrid>
        <w:gridCol w:w="600"/>
        <w:gridCol w:w="4035"/>
      </w:tblGrid>
      <w:bookmarkStart w:id="19" w:name="co_anchor_2041293414003_1"/>
      <w:bookmarkStart w:id="20" w:name="co_headnotesTable_1_1"/>
      <w:tr>
        <w:tblPrEx/>
        <w:trPr/>
        <w:tc>
          <w:tcPr>
            <w:tcMar>
              <w:left w:w="30" w:type="dxa"/>
              <w:right w:w="30" w:type="dxa"/>
            </w:tcMar>
            <w:vAlign w:val="top"/>
          </w:tcPr>
          <w:p>
            <w:pPr>
              <w:spacing w:before="0" w:after="0" w:line="275" w:lineRule="atLeast"/>
            </w:pPr>
            <w:bookmarkStart w:id="21" w:name="co_anchor_F32041293414_1"/>
            <w:bookmarkStart w:id="22" w:name="co_anchor_headNote_[3]_1"/>
            <w:hyperlink w:anchor="co_anchor_B32041293414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29">
              <w:r>
                <w:rPr>
                  <w:rFonts w:ascii="Times New Roman" w:hAnsi="Times New Roman"/>
                  <w:b/>
                  <w:color w:val="000000"/>
                  <w:sz w:val="20"/>
                </w:rPr>
                <w:t>Mines and Minerals</w:t>
              </w:r>
            </w:hyperlink>
            <w:r>
              <w:rPr>
                <w:rFonts w:ascii="Times New Roman" w:hAnsi="Times New Roman"/>
                <w:color w:val="000000"/>
                <w:sz w:val="20"/>
              </w:rPr>
              <w:drawing>
                <wp:inline>
                  <wp:extent cx="133350" cy="76200"/>
                  <wp:docPr id="7" name="Picture 2" descr="Display Key Number Topics"/>
                  <a:graphic>
                    <a:graphicData uri="http://schemas.openxmlformats.org/drawingml/2006/picture">
                      <p:pic>
                        <p:nvPicPr>
                          <p:cNvPr id="8" name="Picture 2" descr="Display Key Number Topics"/>
                          <p:cNvPicPr/>
                        </p:nvPicPr>
                        <p:blipFill>
                          <a:blip r:embed="r19"/>
                          <a:srcRect/>
                          <a:stretch>
                            <a:fillRect/>
                          </a:stretch>
                        </p:blipFill>
                        <p:spPr>
                          <a:xfrm>
                            <a:off x="0" y="0"/>
                            <a:ext cx="133350" cy="76200"/>
                          </a:xfrm>
                          <a:prstGeom prst="rect"/>
                        </p:spPr>
                      </p:pic>
                    </a:graphicData>
                  </a:graphic>
                </wp:inline>
              </w:drawing>
            </w:r>
            <w:hyperlink r:id="r30">
              <w:r>
                <w:rPr>
                  <w:rFonts w:ascii="Times New Roman" w:hAnsi="Times New Roman"/>
                  <w:color w:val="000000"/>
                  <w:sz w:val="20"/>
                </w:rPr>
                <w:t>Oil and Gas in General</w:t>
              </w:r>
            </w:hyperlink>
          </w:p>
        </w:tc>
      </w:tr>
      <w:bookmarkEnd w:id="20"/>
      <w:bookmarkEnd w:id="1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1">
              <w:r>
                <w:rPr>
                  <w:rFonts w:ascii="Times New Roman" w:hAnsi="Times New Roman"/>
                  <w:color w:val="000000"/>
                  <w:sz w:val="18"/>
                </w:rPr>
                <w:t>260</w:t>
              </w:r>
            </w:hyperlink>
            <w:r>
              <w:rPr>
                <w:rFonts w:ascii="Times New Roman" w:hAnsi="Times New Roman"/>
                <w:color w:val="000000"/>
                <w:sz w:val="18"/>
              </w:rPr>
              <w:t>Mines and Minerals</w:t>
            </w:r>
          </w:p>
          <w:p>
            <w:pPr>
              <w:spacing w:before="0" w:after="0" w:line="255" w:lineRule="atLeast"/>
            </w:pPr>
            <w:hyperlink r:id="r32">
              <w:r>
                <w:rPr>
                  <w:rFonts w:ascii="Times New Roman" w:hAnsi="Times New Roman"/>
                  <w:color w:val="000000"/>
                  <w:sz w:val="18"/>
                </w:rPr>
                <w:t>260III</w:t>
              </w:r>
            </w:hyperlink>
            <w:r>
              <w:rPr>
                <w:rFonts w:ascii="Times New Roman" w:hAnsi="Times New Roman"/>
                <w:color w:val="000000"/>
                <w:sz w:val="18"/>
              </w:rPr>
              <w:t>Operation of Mines, Quarries, and Wells</w:t>
            </w:r>
          </w:p>
          <w:p>
            <w:pPr>
              <w:spacing w:before="0" w:after="0" w:line="255" w:lineRule="atLeast"/>
            </w:pPr>
            <w:hyperlink r:id="r33">
              <w:r>
                <w:rPr>
                  <w:rFonts w:ascii="Times New Roman" w:hAnsi="Times New Roman"/>
                  <w:color w:val="000000"/>
                  <w:sz w:val="18"/>
                </w:rPr>
                <w:t>260III(A)</w:t>
              </w:r>
            </w:hyperlink>
            <w:r>
              <w:rPr>
                <w:rFonts w:ascii="Times New Roman" w:hAnsi="Times New Roman"/>
                <w:color w:val="000000"/>
                <w:sz w:val="18"/>
              </w:rPr>
              <w:t>Statutory and Official Regulations</w:t>
            </w:r>
          </w:p>
          <w:p>
            <w:pPr>
              <w:spacing w:before="0" w:after="0" w:line="255" w:lineRule="atLeast"/>
            </w:pPr>
            <w:hyperlink r:id="r34">
              <w:r>
                <w:rPr>
                  <w:rFonts w:ascii="Times New Roman" w:hAnsi="Times New Roman"/>
                  <w:color w:val="000000"/>
                  <w:sz w:val="18"/>
                </w:rPr>
                <w:t>260k92.12</w:t>
              </w:r>
            </w:hyperlink>
            <w:r>
              <w:rPr>
                <w:rFonts w:ascii="Times New Roman" w:hAnsi="Times New Roman"/>
                <w:color w:val="000000"/>
                <w:sz w:val="18"/>
              </w:rPr>
              <w:t>Oil and Gas in General</w:t>
            </w:r>
          </w:p>
          <w:p>
            <w:pPr>
              <w:spacing w:before="0" w:after="0" w:line="255" w:lineRule="atLeast"/>
            </w:pPr>
            <w:hyperlink r:id="r35">
              <w:r>
                <w:rPr>
                  <w:rFonts w:ascii="Times New Roman" w:hAnsi="Times New Roman"/>
                  <w:color w:val="000000"/>
                  <w:sz w:val="18"/>
                </w:rPr>
                <w:t>260k92.13</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Provision of the Oil and Gas Conservation Act declaring it in public interest to foster responsible, balanced development, production, and utilization of oil and gas “in a manner consistent with” protection of public health, safety, and welfare, including protection of environment and wildlife resources, does not indicate a balancing test but rather a condition that must be fulfilled. </w:t>
            </w:r>
            <w:hyperlink r:id="r36">
              <w:r>
                <w:rPr>
                  <w:rFonts w:ascii="Times New Roman" w:hAnsi="Times New Roman"/>
                  <w:color w:val="000000"/>
                  <w:sz w:val="20"/>
                </w:rPr>
                <w:t>Colo. Rev. Stat. Ann. § 34-60-102(1)(a)(I)</w:t>
              </w:r>
            </w:hyperlink>
            <w:r>
              <w:rPr>
                <w:rFonts w:ascii="Times New Roman" w:hAnsi="Times New Roman"/>
                <w:color w:val="000000"/>
                <w:sz w:val="20"/>
              </w:rPr>
              <w:t>.</w:t>
            </w:r>
          </w:p>
        </w:tc>
      </w:tr>
    </w:tbl>
    <w:bookmarkStart w:id="23" w:name="co_headnoteId_2041293414003202007241732"/>
    <w:p>
      <w:pPr>
        <w:spacing w:before="0" w:after="0" w:line="275" w:lineRule="atLeast"/>
        <w:jc w:val="both"/>
      </w:pPr>
    </w:p>
    <w:bookmarkEnd w:id="23"/>
    <w:p>
      <w:pPr>
        <w:pBdr>
          <w:top w:val="none" w:space="4"/>
        </w:pBdr>
        <w:spacing w:before="200" w:after="0" w:line="275" w:lineRule="atLeast"/>
        <w:jc w:val="both"/>
      </w:pPr>
      <w:bookmarkStart w:id="24" w:name="co_headnotesEnd_1"/>
      <w:bookmarkEnd w:id="24"/>
    </w:p>
    <w:p>
      <w:pPr>
        <w:spacing w:before="200" w:after="0" w:line="275" w:lineRule="atLeast"/>
        <w:jc w:val="both"/>
      </w:pPr>
      <w:r>
        <w:rPr>
          <w:rFonts w:ascii="Times New Roman" w:hAnsi="Times New Roman"/>
          <w:color w:val="000000"/>
          <w:sz w:val="20"/>
        </w:rPr>
        <w:t>City and County of Denver District Court No. 14CV32637, Honorable J. Eric Elliff, Judge</w:t>
      </w:r>
    </w:p>
    <w:bookmarkStart w:id="25"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25"/>
    <w:p>
      <w:pPr>
        <w:spacing w:before="200" w:after="0" w:line="275" w:lineRule="atLeast"/>
        <w:jc w:val="both"/>
      </w:pPr>
      <w:r>
        <w:rPr>
          <w:rFonts w:ascii="Times New Roman" w:hAnsi="Times New Roman"/>
          <w:color w:val="000000"/>
          <w:sz w:val="20"/>
        </w:rPr>
        <w:t xml:space="preserve">Colorado Environmental Law, LTD., </w:t>
      </w:r>
      <w:hyperlink r:id="r37">
        <w:r>
          <w:rPr>
            <w:rFonts w:ascii="Times New Roman" w:hAnsi="Times New Roman"/>
            <w:color w:val="000000"/>
            <w:sz w:val="20"/>
          </w:rPr>
          <w:t>Katherine Lynn Toan Merlin</w:t>
        </w:r>
      </w:hyperlink>
      <w:r>
        <w:rPr>
          <w:rFonts w:ascii="Times New Roman" w:hAnsi="Times New Roman"/>
          <w:color w:val="000000"/>
          <w:sz w:val="20"/>
        </w:rPr>
        <w:t xml:space="preserve">, Boulder, Colorado; Minddrive Legal Services, LLC, </w:t>
      </w:r>
      <w:hyperlink r:id="r38">
        <w:r>
          <w:rPr>
            <w:rFonts w:ascii="Times New Roman" w:hAnsi="Times New Roman"/>
            <w:color w:val="000000"/>
            <w:sz w:val="20"/>
          </w:rPr>
          <w:t>James Daniel Leftwich</w:t>
        </w:r>
      </w:hyperlink>
      <w:r>
        <w:rPr>
          <w:rFonts w:ascii="Times New Roman" w:hAnsi="Times New Roman"/>
          <w:color w:val="000000"/>
          <w:sz w:val="20"/>
        </w:rPr>
        <w:t xml:space="preserve">, Boulder, Colorado; Wild Earth Advocates, </w:t>
      </w:r>
      <w:hyperlink r:id="r39">
        <w:r>
          <w:rPr>
            <w:rFonts w:ascii="Times New Roman" w:hAnsi="Times New Roman"/>
            <w:color w:val="000000"/>
            <w:sz w:val="20"/>
          </w:rPr>
          <w:t>Julia Olson</w:t>
        </w:r>
      </w:hyperlink>
      <w:r>
        <w:rPr>
          <w:rFonts w:ascii="Times New Roman" w:hAnsi="Times New Roman"/>
          <w:color w:val="000000"/>
          <w:sz w:val="20"/>
        </w:rPr>
        <w:t>, Eugene, Oregon; for Plaintiffs-Appellants</w:t>
      </w:r>
    </w:p>
    <w:p>
      <w:pPr>
        <w:spacing w:before="200" w:after="0" w:line="275" w:lineRule="atLeast"/>
        <w:jc w:val="both"/>
      </w:pPr>
      <w:hyperlink r:id="r40">
        <w:r>
          <w:rPr>
            <w:rFonts w:ascii="Times New Roman" w:hAnsi="Times New Roman"/>
            <w:color w:val="000000"/>
            <w:sz w:val="20"/>
          </w:rPr>
          <w:t>Cynthia H. Coffman</w:t>
        </w:r>
      </w:hyperlink>
      <w:r>
        <w:rPr>
          <w:rFonts w:ascii="Times New Roman" w:hAnsi="Times New Roman"/>
          <w:color w:val="000000"/>
          <w:sz w:val="20"/>
        </w:rPr>
        <w:t>, Attorney General, Jake Matter, Senior Assistant Attorney General, Brittany K. Beckstead, Assistant Attorney General, Denver, Colorado, for Defendant-Appellee</w:t>
      </w:r>
    </w:p>
    <w:p>
      <w:pPr>
        <w:spacing w:before="200" w:after="0" w:line="275" w:lineRule="atLeast"/>
        <w:jc w:val="both"/>
      </w:pPr>
      <w:r>
        <w:rPr>
          <w:rFonts w:ascii="Times New Roman" w:hAnsi="Times New Roman"/>
          <w:color w:val="000000"/>
          <w:sz w:val="20"/>
        </w:rPr>
        <w:t xml:space="preserve">Ryley Carlock &amp; Applewhite, </w:t>
      </w:r>
      <w:hyperlink r:id="r41">
        <w:r>
          <w:rPr>
            <w:rFonts w:ascii="Times New Roman" w:hAnsi="Times New Roman"/>
            <w:color w:val="000000"/>
            <w:sz w:val="20"/>
          </w:rPr>
          <w:t>Richard C. Kaufman</w:t>
        </w:r>
      </w:hyperlink>
      <w:r>
        <w:rPr>
          <w:rFonts w:ascii="Times New Roman" w:hAnsi="Times New Roman"/>
          <w:color w:val="000000"/>
          <w:sz w:val="20"/>
        </w:rPr>
        <w:t xml:space="preserve">, </w:t>
      </w:r>
      <w:hyperlink r:id="r42">
        <w:r>
          <w:rPr>
            <w:rFonts w:ascii="Times New Roman" w:hAnsi="Times New Roman"/>
            <w:color w:val="000000"/>
            <w:sz w:val="20"/>
          </w:rPr>
          <w:t>Julie A. Rosen</w:t>
        </w:r>
      </w:hyperlink>
      <w:r>
        <w:rPr>
          <w:rFonts w:ascii="Times New Roman" w:hAnsi="Times New Roman"/>
          <w:color w:val="000000"/>
          <w:sz w:val="20"/>
        </w:rPr>
        <w:t xml:space="preserve">, </w:t>
      </w:r>
      <w:hyperlink r:id="r43">
        <w:r>
          <w:rPr>
            <w:rFonts w:ascii="Times New Roman" w:hAnsi="Times New Roman"/>
            <w:color w:val="000000"/>
            <w:sz w:val="20"/>
          </w:rPr>
          <w:t>Matthew K. Tieslau</w:t>
        </w:r>
      </w:hyperlink>
      <w:r>
        <w:rPr>
          <w:rFonts w:ascii="Times New Roman" w:hAnsi="Times New Roman"/>
          <w:color w:val="000000"/>
          <w:sz w:val="20"/>
        </w:rPr>
        <w:t>, Denver, Colorado, for Intervenors-Appellees</w:t>
      </w:r>
    </w:p>
    <w:p>
      <w:pPr>
        <w:spacing w:before="200" w:after="0" w:line="275" w:lineRule="atLeast"/>
        <w:jc w:val="both"/>
      </w:pPr>
      <w:r>
        <w:rPr>
          <w:rFonts w:ascii="Times New Roman" w:hAnsi="Times New Roman"/>
          <w:color w:val="000000"/>
          <w:sz w:val="20"/>
        </w:rPr>
        <w:t xml:space="preserve">Western Environmental Law Center, </w:t>
      </w:r>
      <w:hyperlink r:id="r44">
        <w:r>
          <w:rPr>
            <w:rFonts w:ascii="Times New Roman" w:hAnsi="Times New Roman"/>
            <w:color w:val="000000"/>
            <w:sz w:val="20"/>
          </w:rPr>
          <w:t>Kyle Tisdel</w:t>
        </w:r>
      </w:hyperlink>
      <w:r>
        <w:rPr>
          <w:rFonts w:ascii="Times New Roman" w:hAnsi="Times New Roman"/>
          <w:color w:val="000000"/>
          <w:sz w:val="20"/>
        </w:rPr>
        <w:t>, Taos, New Mexico, for Amici Curiae Colorado Chapter Global Catholic Climate Movement, 350 Colorado, Eco-Justice Ministries, Denver Catholic Network and Global Climate Movement, The Rocky Mountain Peace and Justice Center, Wall of Women Colorado, Colorado People's Alliance, Citizens for a Healthy Fort Collins, Transition Fort Collins, The Fort Collins Sustainability Group, Citizens for a Healthy Community, Be the Change, The Colorado Coalition for a Livable Climate, Clean Energy Action, The Climate Culture Collaborative, Co-Op Members Alliance, The Community for Sustainable Energy, Eco Elders, Vibrant Planet, EnergyShouldBe.org, Frack Free Colorado, Lakewood Renewable Energy Lakewood, North Metro Neighbors for Safe Energy, and Protect Our Loveland</w:t>
      </w:r>
    </w:p>
    <w:p>
      <w:pPr>
        <w:spacing w:before="200" w:after="0" w:line="275" w:lineRule="atLeast"/>
        <w:jc w:val="both"/>
      </w:pPr>
      <w:hyperlink r:id="r45">
        <w:r>
          <w:rPr>
            <w:rFonts w:ascii="Times New Roman" w:hAnsi="Times New Roman"/>
            <w:color w:val="000000"/>
            <w:sz w:val="20"/>
          </w:rPr>
          <w:t>Cynthia H. Coffman</w:t>
        </w:r>
      </w:hyperlink>
      <w:r>
        <w:rPr>
          <w:rFonts w:ascii="Times New Roman" w:hAnsi="Times New Roman"/>
          <w:color w:val="000000"/>
          <w:sz w:val="20"/>
        </w:rPr>
        <w:t xml:space="preserve">, Attorney General, </w:t>
      </w:r>
      <w:hyperlink r:id="r46">
        <w:r>
          <w:rPr>
            <w:rFonts w:ascii="Times New Roman" w:hAnsi="Times New Roman"/>
            <w:color w:val="000000"/>
            <w:sz w:val="20"/>
          </w:rPr>
          <w:t>Claybourne F. Clarke</w:t>
        </w:r>
      </w:hyperlink>
      <w:r>
        <w:rPr>
          <w:rFonts w:ascii="Times New Roman" w:hAnsi="Times New Roman"/>
          <w:color w:val="000000"/>
          <w:sz w:val="20"/>
        </w:rPr>
        <w:t>, Senior Assistant Attorney General, Laura Terlisner Mehew, Benjamin Saver, Assistant Attorneys General, Denver, Colorado, for Amicus Curiae Colorado Department of Public Health and Environment</w:t>
      </w:r>
    </w:p>
    <w:p>
      <w:pPr>
        <w:spacing w:before="200" w:after="0" w:line="275" w:lineRule="atLeast"/>
        <w:jc w:val="both"/>
      </w:pPr>
      <w:hyperlink r:id="r47">
        <w:r>
          <w:rPr>
            <w:rFonts w:ascii="Times New Roman" w:hAnsi="Times New Roman"/>
            <w:color w:val="000000"/>
            <w:sz w:val="20"/>
          </w:rPr>
          <w:t>Kevin Lynch</w:t>
        </w:r>
      </w:hyperlink>
      <w:r>
        <w:rPr>
          <w:rFonts w:ascii="Times New Roman" w:hAnsi="Times New Roman"/>
          <w:color w:val="000000"/>
          <w:sz w:val="20"/>
        </w:rPr>
        <w:t>, Timothy Estep, Denver, Colorado, for Amici Curiae Our Health, Our Future, Our Longmont; Sierra Club; Earthworks; and Food &amp; Water Watch</w:t>
      </w:r>
    </w:p>
    <w:bookmarkStart w:id="26" w:name="co_opinion_1"/>
    <w:p>
      <w:pPr>
        <w:keepNext/>
        <w:keepLines/>
        <w:spacing w:before="200" w:after="0" w:line="275" w:lineRule="atLeast"/>
        <w:jc w:val="both"/>
      </w:pPr>
      <w:r>
        <w:rPr>
          <w:rFonts w:ascii="Times New Roman" w:hAnsi="Times New Roman"/>
          <w:b/>
          <w:color w:val="212121"/>
          <w:sz w:val="20"/>
        </w:rPr>
        <w:t>Opinion</w:t>
      </w:r>
    </w:p>
    <w:bookmarkEnd w:id="26"/>
    <w:bookmarkStart w:id="27" w:name="co_anchor_I7eed6ad2cdfd11ea9f81bd68db15"/>
    <w:p>
      <w:pPr>
        <w:spacing w:before="200" w:after="0" w:line="275" w:lineRule="atLeast"/>
        <w:jc w:val="both"/>
      </w:pPr>
      <w:r>
        <w:rPr>
          <w:rFonts w:ascii="Times New Roman" w:hAnsi="Times New Roman"/>
          <w:color w:val="000000"/>
          <w:sz w:val="20"/>
        </w:rPr>
        <w:t xml:space="preserve">Opinion by JUDGE </w:t>
      </w:r>
      <w:hyperlink r:id="r48">
        <w:r>
          <w:rPr>
            <w:rFonts w:ascii="Times New Roman" w:hAnsi="Times New Roman"/>
            <w:color w:val="000000"/>
            <w:sz w:val="20"/>
          </w:rPr>
          <w:t>FOX</w:t>
        </w:r>
      </w:hyperlink>
    </w:p>
    <w:bookmarkEnd w:id="27"/>
    <w:bookmarkStart w:id="28" w:name="co_anchor_I7f0c1661cdfd11ea9f81bd68db15"/>
    <w:p>
      <w:pPr>
        <w:spacing w:before="200" w:after="0" w:line="275" w:lineRule="atLeast"/>
        <w:jc w:val="both"/>
      </w:pPr>
      <w:bookmarkStart w:id="29" w:name="co_pp_sp_4645_690_1"/>
      <w:r>
        <w:rPr>
          <w:rFonts w:ascii="Times New Roman" w:hAnsi="Times New Roman"/>
          <w:b/>
          <w:color w:val="000000"/>
          <w:sz w:val="20"/>
        </w:rPr>
        <w:t>*690</w:t>
      </w:r>
      <w:bookmarkEnd w:id="29"/>
      <w:r>
        <w:rPr>
          <w:rFonts w:ascii="Times New Roman" w:hAnsi="Times New Roman"/>
          <w:color w:val="000000"/>
          <w:sz w:val="20"/>
        </w:rPr>
        <w:t xml:space="preserve"> ¶ 1 Through their legal guardians, Xiuhtezcatl Martinez, Itzcuahtli Roske-Martinez, Sonora Brinkley, Aerielle Deering, Trinity Carter, and Emma Bray (collectively Petitioners), who reside and recreate in Colorado, appeal the district court's order and final judgment affirming a decision of the Colorado Oil and Gas Conservation Commission (the Commission) denying Petitioners' rulemaking petition. The American Petroleum Institute and the Colorado Petroleum Association (collectively Intervenors) intervened in the district court and filed an appellate brief supporting the district court's order. Additionally, on appeal, twenty-nine agencies and interest groups join as amici curiae, collectively filing three amici briefs.</w:t>
      </w:r>
      <w:bookmarkStart w:id="30" w:name="co_fnRef_B00012041293414_ID0EZFAE_1"/>
      <w:hyperlink w:anchor="co_footnote_B00012041293414_1">
        <w:r>
          <w:rPr>
            <w:rFonts w:ascii="Times New Roman" w:hAnsi="Times New Roman"/>
            <w:color w:val="000000"/>
            <w:sz w:val="16"/>
            <w:vertAlign w:val="superscript"/>
          </w:rPr>
          <w:t>1</w:t>
        </w:r>
      </w:hyperlink>
      <w:bookmarkEnd w:id="30"/>
    </w:p>
    <w:bookmarkEnd w:id="28"/>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 This appeal concerns the scope of authority and obligation delegated to the Commission by the General Assembly in the Oil and Gas Conservation Act (the Act), </w:t>
      </w:r>
      <w:hyperlink r:id="r49">
        <w:r>
          <w:rPr>
            <w:rFonts w:ascii="Times New Roman" w:hAnsi="Times New Roman"/>
            <w:color w:val="000000"/>
            <w:sz w:val="20"/>
          </w:rPr>
          <w:t>§§ 34-60-101</w:t>
        </w:r>
      </w:hyperlink>
      <w:r>
        <w:rPr>
          <w:rFonts w:ascii="Times New Roman" w:hAnsi="Times New Roman"/>
          <w:color w:val="000000"/>
          <w:sz w:val="20"/>
        </w:rPr>
        <w:t xml:space="preserve"> to -</w:t>
      </w:r>
      <w:hyperlink r:id="r50">
        <w:r>
          <w:rPr>
            <w:rFonts w:ascii="Times New Roman" w:hAnsi="Times New Roman"/>
            <w:color w:val="000000"/>
            <w:sz w:val="20"/>
          </w:rPr>
          <w:t>130, C.R.S. 2016</w:t>
        </w:r>
      </w:hyperlink>
      <w:r>
        <w:rPr>
          <w:rFonts w:ascii="Times New Roman" w:hAnsi="Times New Roman"/>
          <w:color w:val="000000"/>
          <w:sz w:val="20"/>
        </w:rPr>
        <w:t>, to regulate oil and gas production in the interests of public health and safety. The district court affirmed the Commission's order after concluding that the Commission lacked authority to consider a proposed rule that would require it to readjust the Act's balance between the development of oil and gas resources and protection of public health, safety, and welfare. Because we agree with Petitioners that this conclusion was erroneous, we reverse the judgment of the district court and the decision of the Commission and remand to the district court to return the case to the Commission for further proceedings consistent with this opinion.</w:t>
      </w:r>
    </w:p>
    <w:p>
      <w:pPr>
        <w:spacing w:before="0" w:after="0" w:line="275" w:lineRule="atLeast"/>
        <w:jc w:val="both"/>
      </w:pPr>
      <w:r>
        <w:rPr>
          <w:rFonts w:ascii="Times New Roman" w:hAnsi="Times New Roman"/>
          <w:color w:val="000000"/>
          <w:sz w:val="20"/>
        </w:rPr>
        <w:t> </w:t>
      </w:r>
    </w:p>
    <w:bookmarkStart w:id="31" w:name="co_anchor_I7f10d151cdfd11ea9f81bd68db15"/>
    <w:p>
      <w:pPr>
        <w:spacing w:before="400" w:after="0" w:line="275" w:lineRule="atLeast"/>
        <w:jc w:val="center"/>
      </w:pPr>
      <w:r>
        <w:rPr>
          <w:rFonts w:ascii="Times New Roman" w:hAnsi="Times New Roman"/>
          <w:color w:val="000000"/>
          <w:sz w:val="20"/>
        </w:rPr>
        <w:t>I. Background</w:t>
      </w:r>
    </w:p>
    <w:bookmarkEnd w:id="31"/>
    <w:p>
      <w:pPr>
        <w:spacing w:before="200" w:after="0" w:line="275" w:lineRule="atLeast"/>
        <w:jc w:val="both"/>
      </w:pPr>
      <w:r>
        <w:rPr>
          <w:rFonts w:ascii="Times New Roman" w:hAnsi="Times New Roman"/>
          <w:color w:val="000000"/>
          <w:sz w:val="20"/>
        </w:rPr>
        <w:t xml:space="preserve">¶ 3 Hydraulic fracturing (fracking) is a modern process used to stimulate oil and gas production from an existing well by injecting water mixed with other chemicals and materials which cause, and hold open, fractures in a well bore allowing oil and gas to flow to the well bore via the newly created fractures. </w:t>
      </w:r>
      <w:hyperlink r:id="r51">
        <w:r>
          <w:rPr>
            <w:rFonts w:ascii="Times New Roman" w:hAnsi="Times New Roman"/>
            <w:i/>
            <w:color w:val="000000"/>
            <w:sz w:val="20"/>
          </w:rPr>
          <w:t>City of Longmont v. Colo. Oil &amp; Gas Ass'n</w:t>
        </w:r>
        <w:r>
          <w:rPr>
            <w:rFonts w:ascii="Times New Roman" w:hAnsi="Times New Roman"/>
            <w:color w:val="000000"/>
            <w:sz w:val="20"/>
          </w:rPr>
          <w:t>, 2016 CO 29, ¶ 1, 369 P.3d 573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 The Commission is charged with generally regulating oil and gas resource production in Colorado. </w:t>
      </w:r>
      <w:r>
        <w:rPr>
          <w:rFonts w:ascii="Times New Roman" w:hAnsi="Times New Roman"/>
          <w:i/>
          <w:color w:val="000000"/>
          <w:sz w:val="20"/>
        </w:rPr>
        <w:t>See</w:t>
      </w:r>
      <w:r>
        <w:rPr>
          <w:rFonts w:ascii="Times New Roman" w:hAnsi="Times New Roman"/>
          <w:color w:val="000000"/>
          <w:sz w:val="20"/>
        </w:rPr>
        <w:t xml:space="preserve"> </w:t>
      </w:r>
      <w:hyperlink r:id="r52">
        <w:r>
          <w:rPr>
            <w:rFonts w:ascii="Times New Roman" w:hAnsi="Times New Roman"/>
            <w:color w:val="000000"/>
            <w:sz w:val="20"/>
          </w:rPr>
          <w:t>§ 34-60-105, C.R.S</w:t>
        </w:r>
      </w:hyperlink>
      <w:r>
        <w:rPr>
          <w:rFonts w:ascii="Times New Roman" w:hAnsi="Times New Roman"/>
          <w:color w:val="000000"/>
          <w:sz w:val="20"/>
        </w:rPr>
        <w:t xml:space="preserve">. 2016; </w:t>
      </w:r>
      <w:hyperlink r:id="r53">
        <w:r>
          <w:rPr>
            <w:rFonts w:ascii="Times New Roman" w:hAnsi="Times New Roman"/>
            <w:color w:val="000000"/>
            <w:sz w:val="30"/>
          </w:rPr>
          <w:drawing>
            <wp:inline>
              <wp:extent cx="161925" cy="161925"/>
              <wp:docPr id="9" name="Picture 3"/>
              <a:graphic>
                <a:graphicData uri="http://schemas.openxmlformats.org/drawingml/2006/picture">
                  <p:pic>
                    <p:nvPicPr>
                      <p:cNvPr id="10" name="Picture 3"/>
                      <p:cNvPicPr/>
                    </p:nvPicPr>
                    <p:blipFill>
                      <a:blip r:embed="r55"/>
                      <a:srcRect/>
                      <a:stretch>
                        <a:fillRect/>
                      </a:stretch>
                    </p:blipFill>
                    <p:spPr>
                      <a:xfrm>
                        <a:off x="0" y="0"/>
                        <a:ext cx="161925" cy="161925"/>
                      </a:xfrm>
                      <a:prstGeom prst="rect"/>
                    </p:spPr>
                  </p:pic>
                </a:graphicData>
              </a:graphic>
            </wp:inline>
          </w:drawing>
        </w:r>
      </w:hyperlink>
      <w:hyperlink r:id="r54">
        <w:r>
          <w:rPr>
            <w:rFonts w:ascii="Times New Roman" w:hAnsi="Times New Roman"/>
            <w:color w:val="000000"/>
            <w:sz w:val="20"/>
          </w:rPr>
          <w:t>§ 34-60-106, C.R.S. 2016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 On November 15, 2013, Petitioners filed a petition for rulemaking pursuant to the Commission's Rule 529(b).</w:t>
      </w:r>
      <w:r>
        <w:rPr>
          <w:rFonts w:ascii="Times New Roman" w:hAnsi="Times New Roman"/>
          <w:color w:val="000000"/>
          <w:sz w:val="20"/>
        </w:rPr>
        <w:t xml:space="preserve"> </w:t>
      </w:r>
      <w:r>
        <w:rPr>
          <w:rFonts w:ascii="Times New Roman" w:hAnsi="Times New Roman"/>
          <w:i/>
          <w:color w:val="000000"/>
          <w:sz w:val="20"/>
        </w:rPr>
        <w:t>See</w:t>
      </w:r>
      <w:r>
        <w:rPr>
          <w:rFonts w:ascii="Times New Roman" w:hAnsi="Times New Roman"/>
          <w:color w:val="000000"/>
          <w:sz w:val="20"/>
        </w:rPr>
        <w:t xml:space="preserve"> Dep't of Nat. Res. Reg. 529, 2 Code Colo. Regs. 404-1. Petitioners proposed a rule requesting that the Commission</w:t>
      </w:r>
    </w:p>
    <w:p>
      <w:pPr>
        <w:spacing w:before="200" w:after="0" w:line="275" w:lineRule="atLeast"/>
        <w:ind w:left="480" w:right="480" w:firstLine="0"/>
        <w:jc w:val="both"/>
      </w:pPr>
      <w:r>
        <w:rPr>
          <w:rFonts w:ascii="Times New Roman" w:hAnsi="Times New Roman"/>
          <w:color w:val="000000"/>
          <w:sz w:val="20"/>
        </w:rPr>
        <w:t xml:space="preserve">not issue any permits for the drilling of a well for oil and gas unless the best available </w:t>
      </w:r>
      <w:bookmarkStart w:id="32" w:name="co_pp_sp_4645_691_1"/>
      <w:r>
        <w:rPr>
          <w:rFonts w:ascii="Times New Roman" w:hAnsi="Times New Roman"/>
          <w:b/>
          <w:color w:val="000000"/>
          <w:sz w:val="20"/>
        </w:rPr>
        <w:t>*691</w:t>
      </w:r>
      <w:bookmarkEnd w:id="32"/>
      <w:r>
        <w:rPr>
          <w:rFonts w:ascii="Times New Roman" w:hAnsi="Times New Roman"/>
          <w:color w:val="000000"/>
          <w:sz w:val="20"/>
        </w:rPr>
        <w:t xml:space="preserve"> science demonstrates, and an independent, third party organization confirms, that drilling can occur in a manner that does not cumulatively, with other actions, impair Colorado's atmosphere, water, wildlife, and land resources, does not adversely impact human health and does not contribute to climate change.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 The Commission solicited and received written stakeholder comments and held a hearing, on April 28, 2014, where parties favoring and opposing the proposed rule testified.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 The Commission ultimately denied the petition, concluding that (1) the proposed rule mandated action that was beyond the limited statutory authority delegated by the General Assembly in the Act; (2) review by a third party—as Petitioners requested—contradicted the Commission's nondelegable duty to promulgate rules under </w:t>
      </w:r>
      <w:hyperlink r:id="r56">
        <w:r>
          <w:rPr>
            <w:rFonts w:ascii="Times New Roman" w:hAnsi="Times New Roman"/>
            <w:color w:val="000000"/>
            <w:sz w:val="30"/>
          </w:rPr>
          <w:drawing>
            <wp:inline>
              <wp:extent cx="161925" cy="161925"/>
              <wp:docPr id="11" name="Picture 3"/>
              <a:graphic>
                <a:graphicData uri="http://schemas.openxmlformats.org/drawingml/2006/picture">
                  <p:pic>
                    <p:nvPicPr>
                      <p:cNvPr id="12" name="Picture 3"/>
                      <p:cNvPicPr/>
                    </p:nvPicPr>
                    <p:blipFill>
                      <a:blip r:embed="r55"/>
                      <a:srcRect/>
                      <a:stretch>
                        <a:fillRect/>
                      </a:stretch>
                    </p:blipFill>
                    <p:spPr>
                      <a:xfrm>
                        <a:off x="0" y="0"/>
                        <a:ext cx="161925" cy="161925"/>
                      </a:xfrm>
                      <a:prstGeom prst="rect"/>
                    </p:spPr>
                  </p:pic>
                </a:graphicData>
              </a:graphic>
            </wp:inline>
          </w:drawing>
        </w:r>
      </w:hyperlink>
      <w:hyperlink r:id="r57">
        <w:r>
          <w:rPr>
            <w:rFonts w:ascii="Times New Roman" w:hAnsi="Times New Roman"/>
            <w:color w:val="000000"/>
            <w:sz w:val="20"/>
          </w:rPr>
          <w:t>section 34-60-106(11)(a)(II)</w:t>
        </w:r>
      </w:hyperlink>
      <w:r>
        <w:rPr>
          <w:rFonts w:ascii="Times New Roman" w:hAnsi="Times New Roman"/>
          <w:color w:val="000000"/>
          <w:sz w:val="20"/>
        </w:rPr>
        <w:t xml:space="preserve"> and is contrary to the Act; and (3) the public trust doctrine, which Petitioners relied on to support their request, has been expressly rejected in Colorado.</w:t>
      </w:r>
      <w:bookmarkStart w:id="33" w:name="co_fnRef_B00022041293414_ID0EEMAE_1"/>
      <w:hyperlink w:anchor="co_footnote_B00022041293414_1">
        <w:r>
          <w:rPr>
            <w:rFonts w:ascii="Times New Roman" w:hAnsi="Times New Roman"/>
            <w:color w:val="000000"/>
            <w:sz w:val="16"/>
            <w:vertAlign w:val="superscript"/>
          </w:rPr>
          <w:t>2</w:t>
        </w:r>
      </w:hyperlink>
      <w:bookmarkEnd w:id="33"/>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8 The Commission also concluded that “the Commission and the Colorado Department of Public Health and the Environment (CDPHE) are currently addressing many of the Petitioners' concerns through more gradual changes in regulation within their relative jurisdictions.” In reaching its conclusions, the Commission largely relied on a memo from the Colorado Attorney General's Office which advised that the Commission lacked jurisdiction to adopt the proposed rule as written, and that there is no statutory basis to withhold drilling permits pending the Petitioners' proposed impact reviews.</w:t>
      </w:r>
      <w:bookmarkStart w:id="34" w:name="co_fnRef_B00032041293414_ID0EVOAE_1"/>
      <w:hyperlink w:anchor="co_footnote_B00032041293414_1">
        <w:r>
          <w:rPr>
            <w:rFonts w:ascii="Times New Roman" w:hAnsi="Times New Roman"/>
            <w:color w:val="000000"/>
            <w:sz w:val="16"/>
            <w:vertAlign w:val="superscript"/>
          </w:rPr>
          <w:t>3</w:t>
        </w:r>
      </w:hyperlink>
      <w:bookmarkEnd w:id="34"/>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9 On July 3, 2014, Petitioners appealed the Commission's decision to the district court pursuant to the State Administrative Procedure Act, </w:t>
      </w:r>
      <w:hyperlink r:id="r58">
        <w:r>
          <w:rPr>
            <w:rFonts w:ascii="Times New Roman" w:hAnsi="Times New Roman"/>
            <w:color w:val="000000"/>
            <w:sz w:val="20"/>
          </w:rPr>
          <w:t>§ 24-4-106, C.R.S. 2016</w:t>
        </w:r>
      </w:hyperlink>
      <w:r>
        <w:rPr>
          <w:rFonts w:ascii="Times New Roman" w:hAnsi="Times New Roman"/>
          <w:color w:val="000000"/>
          <w:sz w:val="20"/>
        </w:rPr>
        <w:t>. The parties filed briefs and Petitioners requested oral argument.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10 The district court, ruling on the briefs, applied the two-part test from </w:t>
      </w:r>
      <w:hyperlink r:id="r59">
        <w:r>
          <w:rPr>
            <w:rFonts w:ascii="Times New Roman" w:hAnsi="Times New Roman"/>
            <w:color w:val="000000"/>
            <w:sz w:val="30"/>
          </w:rPr>
          <w:drawing>
            <wp:inline>
              <wp:extent cx="161925" cy="161925"/>
              <wp:docPr id="13" name="Picture 3"/>
              <a:graphic>
                <a:graphicData uri="http://schemas.openxmlformats.org/drawingml/2006/picture">
                  <p:pic>
                    <p:nvPicPr>
                      <p:cNvPr id="14" name="Picture 3"/>
                      <p:cNvPicPr/>
                    </p:nvPicPr>
                    <p:blipFill>
                      <a:blip r:embed="r55"/>
                      <a:srcRect/>
                      <a:stretch>
                        <a:fillRect/>
                      </a:stretch>
                    </p:blipFill>
                    <p:spPr>
                      <a:xfrm>
                        <a:off x="0" y="0"/>
                        <a:ext cx="161925" cy="161925"/>
                      </a:xfrm>
                      <a:prstGeom prst="rect"/>
                    </p:spPr>
                  </p:pic>
                </a:graphicData>
              </a:graphic>
            </wp:inline>
          </w:drawing>
        </w:r>
      </w:hyperlink>
      <w:hyperlink r:id="r60">
        <w:r>
          <w:rPr>
            <w:rFonts w:ascii="Times New Roman" w:hAnsi="Times New Roman"/>
            <w:i/>
            <w:color w:val="000000"/>
            <w:sz w:val="20"/>
          </w:rPr>
          <w:t>Chevron, U.S.A., Inc. v. Natural Resources Defense Council, Inc.</w:t>
        </w:r>
        <w:r>
          <w:rPr>
            <w:rFonts w:ascii="Times New Roman" w:hAnsi="Times New Roman"/>
            <w:color w:val="000000"/>
            <w:sz w:val="20"/>
          </w:rPr>
          <w:t>, 467 U.S. 837, 104 S.Ct. 2778, 81 L.Ed.2d 694 (1984)</w:t>
        </w:r>
      </w:hyperlink>
      <w:r>
        <w:rPr>
          <w:rFonts w:ascii="Times New Roman" w:hAnsi="Times New Roman"/>
          <w:color w:val="000000"/>
          <w:sz w:val="20"/>
        </w:rPr>
        <w:t>, and concluded that the Act's language is clear and unambiguous and requires a balance between the development of oil and gas resources and protecting public health, safety, and welfare. The district court further concluded that the Commission did not act arbitrarily or capriciously in relying on the advice of the Attorney General's Office, and that it rationally decided to deny the petition after considering input from stakeholders on both sides of the fracking issue. Thus, the district court affirmed the Commission.</w:t>
      </w:r>
    </w:p>
    <w:p>
      <w:pPr>
        <w:spacing w:before="0" w:after="0" w:line="275" w:lineRule="atLeast"/>
        <w:jc w:val="both"/>
      </w:pPr>
      <w:r>
        <w:rPr>
          <w:rFonts w:ascii="Times New Roman" w:hAnsi="Times New Roman"/>
          <w:color w:val="000000"/>
          <w:sz w:val="20"/>
        </w:rPr>
        <w:t> </w:t>
      </w:r>
    </w:p>
    <w:bookmarkStart w:id="35" w:name="co_anchor_I7f19d201cdfd11ea9f81bd68db15"/>
    <w:p>
      <w:pPr>
        <w:spacing w:before="400" w:after="0" w:line="275" w:lineRule="atLeast"/>
        <w:jc w:val="center"/>
      </w:pPr>
      <w:r>
        <w:rPr>
          <w:rFonts w:ascii="Times New Roman" w:hAnsi="Times New Roman"/>
          <w:color w:val="000000"/>
          <w:sz w:val="20"/>
        </w:rPr>
        <w:t>II. The Commission's Duty Under the Act</w:t>
      </w:r>
    </w:p>
    <w:bookmarkEnd w:id="35"/>
    <w:p>
      <w:pPr>
        <w:spacing w:before="200" w:after="0" w:line="275" w:lineRule="atLeast"/>
        <w:jc w:val="both"/>
      </w:pPr>
      <w:r>
        <w:rPr>
          <w:rFonts w:ascii="Times New Roman" w:hAnsi="Times New Roman"/>
          <w:color w:val="000000"/>
          <w:sz w:val="20"/>
        </w:rPr>
        <w:t>¶ 11 Petitioners contend that the district court and the Commission erred in interpreting the Act. We agree.</w:t>
      </w:r>
    </w:p>
    <w:p>
      <w:pPr>
        <w:spacing w:before="0" w:after="0" w:line="275" w:lineRule="atLeast"/>
        <w:jc w:val="both"/>
      </w:pPr>
      <w:r>
        <w:rPr>
          <w:rFonts w:ascii="Times New Roman" w:hAnsi="Times New Roman"/>
          <w:color w:val="000000"/>
          <w:sz w:val="20"/>
        </w:rPr>
        <w:t> </w:t>
      </w:r>
    </w:p>
    <w:bookmarkStart w:id="36" w:name="co_anchor_I7f1b3191cdfd11ea9f81bd68db15"/>
    <w:p>
      <w:pPr>
        <w:spacing w:before="400" w:after="0" w:line="275" w:lineRule="atLeast"/>
        <w:jc w:val="center"/>
      </w:pPr>
      <w:r>
        <w:rPr>
          <w:rFonts w:ascii="Times New Roman" w:hAnsi="Times New Roman"/>
          <w:color w:val="000000"/>
          <w:sz w:val="20"/>
        </w:rPr>
        <w:t>A. Preservation and Standard of Review</w:t>
      </w:r>
    </w:p>
    <w:bookmarkEnd w:id="36"/>
    <w:p>
      <w:pPr>
        <w:spacing w:before="200" w:after="0" w:line="275" w:lineRule="atLeast"/>
        <w:jc w:val="both"/>
      </w:pPr>
      <w:r>
        <w:rPr>
          <w:rFonts w:ascii="Times New Roman" w:hAnsi="Times New Roman"/>
          <w:color w:val="000000"/>
          <w:sz w:val="20"/>
        </w:rPr>
        <w:t>¶ 12 The parties agree that Petitioners preserved their argument for appeal.</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41293414_1">
        <w:r>
          <w:rPr>
            <w:rFonts w:ascii="Times New Roman" w:hAnsi="Times New Roman"/>
            <w:b/>
            <w:color w:val="000000"/>
            <w:sz w:val="20"/>
            <w:bdr w:val="none" w:space="2"/>
            <w:vertAlign w:val="superscript"/>
          </w:rPr>
          <w:t>[1]</w:t>
        </w:r>
      </w:hyperlink>
      <w:bookmarkStart w:id="37" w:name="co_anchor_B12041293414_1"/>
      <w:bookmarkEnd w:id="37"/>
      <w:r>
        <w:rPr>
          <w:rFonts w:ascii="Times New Roman" w:hAnsi="Times New Roman"/>
          <w:color w:val="000000"/>
          <w:sz w:val="20"/>
        </w:rPr>
        <w:t xml:space="preserve">¶ 13 We may overturn an administrative agency's determination only if we conclude that the agency (1) acted arbitrarily or capriciously; (2) made a determination that is not supported by the record; (3) erroneously interpreted the law; or (4) exceeded its constitutional or statutory authority. </w:t>
      </w:r>
      <w:hyperlink r:id="r61">
        <w:r>
          <w:rPr>
            <w:rFonts w:ascii="Times New Roman" w:hAnsi="Times New Roman"/>
            <w:i/>
            <w:color w:val="000000"/>
            <w:sz w:val="20"/>
          </w:rPr>
          <w:t>Sapp v. El Paso Cty. Dep't of Human Servs.</w:t>
        </w:r>
        <w:r>
          <w:rPr>
            <w:rFonts w:ascii="Times New Roman" w:hAnsi="Times New Roman"/>
            <w:color w:val="000000"/>
            <w:sz w:val="20"/>
          </w:rPr>
          <w:t>, 181 P.3d 1179, 1182 (Colo. App. 2008)</w:t>
        </w:r>
      </w:hyperlink>
      <w:r>
        <w:rPr>
          <w:rFonts w:ascii="Times New Roman" w:hAnsi="Times New Roman"/>
          <w:color w:val="000000"/>
          <w:sz w:val="20"/>
        </w:rPr>
        <w:t xml:space="preserve">. The district court exercises no factfinding authority in its review of an agency decision and is in the </w:t>
      </w:r>
      <w:bookmarkStart w:id="38" w:name="co_pp_sp_4645_692_1"/>
      <w:r>
        <w:rPr>
          <w:rFonts w:ascii="Times New Roman" w:hAnsi="Times New Roman"/>
          <w:b/>
          <w:color w:val="000000"/>
          <w:sz w:val="20"/>
        </w:rPr>
        <w:t>*692</w:t>
      </w:r>
      <w:bookmarkEnd w:id="38"/>
      <w:r>
        <w:rPr>
          <w:rFonts w:ascii="Times New Roman" w:hAnsi="Times New Roman"/>
          <w:color w:val="000000"/>
          <w:sz w:val="20"/>
        </w:rPr>
        <w:t xml:space="preserve"> same position as this court, so we engage in the same type of record review as did the district court. </w:t>
      </w:r>
      <w:hyperlink r:id="r62">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14 We review statutory construction de novo. </w:t>
      </w:r>
      <w:hyperlink r:id="r63">
        <w:r>
          <w:rPr>
            <w:rFonts w:ascii="Times New Roman" w:hAnsi="Times New Roman"/>
            <w:i/>
            <w:color w:val="000000"/>
            <w:sz w:val="20"/>
          </w:rPr>
          <w:t>Archuletta v. Indus. Claim Appeals Office</w:t>
        </w:r>
        <w:r>
          <w:rPr>
            <w:rFonts w:ascii="Times New Roman" w:hAnsi="Times New Roman"/>
            <w:color w:val="000000"/>
            <w:sz w:val="20"/>
          </w:rPr>
          <w:t>, 2016 COA 66, ¶ 11, 381 P.3d 374</w:t>
        </w:r>
      </w:hyperlink>
      <w:r>
        <w:rPr>
          <w:rFonts w:ascii="Times New Roman" w:hAnsi="Times New Roman"/>
          <w:color w:val="000000"/>
          <w:sz w:val="20"/>
        </w:rPr>
        <w:t xml:space="preserve">. While we defer to an agency's policy determinations in rulemaking proceedings, that deference does not extend to “questions of law such as the extent to which rules and regulations are supported by statutory authority.” </w:t>
      </w:r>
      <w:hyperlink r:id="r64">
        <w:r>
          <w:rPr>
            <w:rFonts w:ascii="Times New Roman" w:hAnsi="Times New Roman"/>
            <w:i/>
            <w:color w:val="000000"/>
            <w:sz w:val="20"/>
          </w:rPr>
          <w:t>Simpson v. Cotton Creek Circles, LLC</w:t>
        </w:r>
        <w:r>
          <w:rPr>
            <w:rFonts w:ascii="Times New Roman" w:hAnsi="Times New Roman"/>
            <w:color w:val="000000"/>
            <w:sz w:val="20"/>
          </w:rPr>
          <w:t>, 181 P.3d 252, 261 (Colo. 2008)</w:t>
        </w:r>
      </w:hyperlink>
      <w:r>
        <w:rPr>
          <w:rFonts w:ascii="Times New Roman" w:hAnsi="Times New Roman"/>
          <w:color w:val="000000"/>
          <w:sz w:val="20"/>
        </w:rPr>
        <w:t xml:space="preserve">. Under </w:t>
      </w:r>
      <w:hyperlink r:id="r65">
        <w:r>
          <w:rPr>
            <w:rFonts w:ascii="Times New Roman" w:hAnsi="Times New Roman"/>
            <w:color w:val="000000"/>
            <w:sz w:val="30"/>
          </w:rPr>
          <w:drawing>
            <wp:inline>
              <wp:extent cx="161925" cy="161925"/>
              <wp:docPr id="15" name="Picture 3"/>
              <a:graphic>
                <a:graphicData uri="http://schemas.openxmlformats.org/drawingml/2006/picture">
                  <p:pic>
                    <p:nvPicPr>
                      <p:cNvPr id="16" name="Picture 3"/>
                      <p:cNvPicPr/>
                    </p:nvPicPr>
                    <p:blipFill>
                      <a:blip r:embed="r55"/>
                      <a:srcRect/>
                      <a:stretch>
                        <a:fillRect/>
                      </a:stretch>
                    </p:blipFill>
                    <p:spPr>
                      <a:xfrm>
                        <a:off x="0" y="0"/>
                        <a:ext cx="161925" cy="161925"/>
                      </a:xfrm>
                      <a:prstGeom prst="rect"/>
                    </p:spPr>
                  </p:pic>
                </a:graphicData>
              </a:graphic>
            </wp:inline>
          </w:drawing>
        </w:r>
      </w:hyperlink>
      <w:hyperlink r:id="r66">
        <w:r>
          <w:rPr>
            <w:rFonts w:ascii="Times New Roman" w:hAnsi="Times New Roman"/>
            <w:i/>
            <w:color w:val="000000"/>
            <w:sz w:val="20"/>
          </w:rPr>
          <w:t>Chevron</w:t>
        </w:r>
      </w:hyperlink>
      <w:r>
        <w:rPr>
          <w:rFonts w:ascii="Times New Roman" w:hAnsi="Times New Roman"/>
          <w:color w:val="000000"/>
          <w:sz w:val="20"/>
        </w:rPr>
        <w:t xml:space="preserve">, the first step in reviewing an agency's interpretation of a statute involves using traditional tools of statutory construction to determine whether the language of the statute is clear and whether the legislature has spoken directly to the question at issue. </w:t>
      </w:r>
      <w:hyperlink r:id="r67">
        <w:r>
          <w:rPr>
            <w:rFonts w:ascii="Times New Roman" w:hAnsi="Times New Roman"/>
            <w:color w:val="000000"/>
            <w:sz w:val="30"/>
          </w:rPr>
          <w:drawing>
            <wp:inline>
              <wp:extent cx="161925" cy="161925"/>
              <wp:docPr id="17" name="Picture 3"/>
              <a:graphic>
                <a:graphicData uri="http://schemas.openxmlformats.org/drawingml/2006/picture">
                  <p:pic>
                    <p:nvPicPr>
                      <p:cNvPr id="18" name="Picture 3"/>
                      <p:cNvPicPr/>
                    </p:nvPicPr>
                    <p:blipFill>
                      <a:blip r:embed="r55"/>
                      <a:srcRect/>
                      <a:stretch>
                        <a:fillRect/>
                      </a:stretch>
                    </p:blipFill>
                    <p:spPr>
                      <a:xfrm>
                        <a:off x="0" y="0"/>
                        <a:ext cx="161925" cy="161925"/>
                      </a:xfrm>
                      <a:prstGeom prst="rect"/>
                    </p:spPr>
                  </p:pic>
                </a:graphicData>
              </a:graphic>
            </wp:inline>
          </w:drawing>
        </w:r>
      </w:hyperlink>
      <w:hyperlink r:id="r68">
        <w:r>
          <w:rPr>
            <w:rFonts w:ascii="Times New Roman" w:hAnsi="Times New Roman"/>
            <w:color w:val="000000"/>
            <w:sz w:val="20"/>
          </w:rPr>
          <w:t>467 U.S. at 842-43, 104 S.Ct. 2778</w:t>
        </w:r>
      </w:hyperlink>
      <w:r>
        <w:rPr>
          <w:rFonts w:ascii="Times New Roman" w:hAnsi="Times New Roman"/>
          <w:color w:val="000000"/>
          <w:sz w:val="20"/>
        </w:rPr>
        <w:t xml:space="preserve">. We begin interpreting a statute by looking to the plain and ordinary meaning of the language. </w:t>
      </w:r>
      <w:hyperlink r:id="r69">
        <w:r>
          <w:rPr>
            <w:rFonts w:ascii="Times New Roman" w:hAnsi="Times New Roman"/>
            <w:i/>
            <w:color w:val="000000"/>
            <w:sz w:val="20"/>
          </w:rPr>
          <w:t>Robinson v. Legro</w:t>
        </w:r>
        <w:r>
          <w:rPr>
            <w:rFonts w:ascii="Times New Roman" w:hAnsi="Times New Roman"/>
            <w:color w:val="000000"/>
            <w:sz w:val="20"/>
          </w:rPr>
          <w:t>, 2014 CO 40, ¶ 14, 325 P.3d 1053</w:t>
        </w:r>
      </w:hyperlink>
      <w:r>
        <w:rPr>
          <w:rFonts w:ascii="Times New Roman" w:hAnsi="Times New Roman"/>
          <w:color w:val="000000"/>
          <w:sz w:val="20"/>
        </w:rPr>
        <w:t xml:space="preserve">. We “read and consider the statutory scheme as a whole to give consistent, harmonious and sensible effect to all its parts.” </w:t>
      </w:r>
      <w:hyperlink r:id="r70">
        <w:r>
          <w:rPr>
            <w:rFonts w:ascii="Times New Roman" w:hAnsi="Times New Roman"/>
            <w:i/>
            <w:color w:val="000000"/>
            <w:sz w:val="20"/>
          </w:rPr>
          <w:t>Id.</w:t>
        </w:r>
      </w:hyperlink>
      <w:r>
        <w:rPr>
          <w:rFonts w:ascii="Times New Roman" w:hAnsi="Times New Roman"/>
          <w:color w:val="000000"/>
          <w:sz w:val="20"/>
        </w:rPr>
        <w:t xml:space="preserve"> (citation omitted). We presume the legislature intended the entire statute to be effective and avoid constructions that would render any part meaningless. </w:t>
      </w:r>
      <w:hyperlink r:id="r71">
        <w:r>
          <w:rPr>
            <w:rFonts w:ascii="Times New Roman" w:hAnsi="Times New Roman"/>
            <w:i/>
            <w:color w:val="000000"/>
            <w:sz w:val="20"/>
          </w:rPr>
          <w:t>Id.</w:t>
        </w:r>
      </w:hyperlink>
      <w:r>
        <w:rPr>
          <w:rFonts w:ascii="Times New Roman" w:hAnsi="Times New Roman"/>
          <w:color w:val="000000"/>
          <w:sz w:val="20"/>
        </w:rPr>
        <w:t xml:space="preserve"> “When we interpret a comprehensive legislative scheme, we must give meaning to all portions thereof and construe the statutory provisions to further the legislative intent.” </w:t>
      </w:r>
      <w:hyperlink r:id="r72">
        <w:r>
          <w:rPr>
            <w:rFonts w:ascii="Times New Roman" w:hAnsi="Times New Roman"/>
            <w:i/>
            <w:color w:val="000000"/>
            <w:sz w:val="20"/>
          </w:rPr>
          <w:t>Droste v. Bd. of Cty. Comm'rs</w:t>
        </w:r>
        <w:r>
          <w:rPr>
            <w:rFonts w:ascii="Times New Roman" w:hAnsi="Times New Roman"/>
            <w:color w:val="000000"/>
            <w:sz w:val="20"/>
          </w:rPr>
          <w:t>, 159 P.3d 601, 605 (Colo. 2007)</w:t>
        </w:r>
      </w:hyperlink>
      <w:r>
        <w:rPr>
          <w:rFonts w:ascii="Times New Roman" w:hAnsi="Times New Roman"/>
          <w:color w:val="000000"/>
          <w:sz w:val="20"/>
        </w:rPr>
        <w:t xml:space="preserve">. If the statutory intent is plain and unambiguous, our inquiry ends there. </w:t>
      </w:r>
      <w:r>
        <w:rPr>
          <w:rFonts w:ascii="Times New Roman" w:hAnsi="Times New Roman"/>
          <w:i/>
          <w:color w:val="000000"/>
          <w:sz w:val="20"/>
        </w:rPr>
        <w:t xml:space="preserve">See </w:t>
      </w:r>
      <w:hyperlink r:id="r73">
        <w:r>
          <w:rPr>
            <w:rFonts w:ascii="Times New Roman" w:hAnsi="Times New Roman"/>
            <w:color w:val="000000"/>
            <w:sz w:val="30"/>
          </w:rPr>
          <w:drawing>
            <wp:inline>
              <wp:extent cx="161925" cy="161925"/>
              <wp:docPr id="19" name="Picture 3"/>
              <a:graphic>
                <a:graphicData uri="http://schemas.openxmlformats.org/drawingml/2006/picture">
                  <p:pic>
                    <p:nvPicPr>
                      <p:cNvPr id="20" name="Picture 3"/>
                      <p:cNvPicPr/>
                    </p:nvPicPr>
                    <p:blipFill>
                      <a:blip r:embed="r55"/>
                      <a:srcRect/>
                      <a:stretch>
                        <a:fillRect/>
                      </a:stretch>
                    </p:blipFill>
                    <p:spPr>
                      <a:xfrm>
                        <a:off x="0" y="0"/>
                        <a:ext cx="161925" cy="161925"/>
                      </a:xfrm>
                      <a:prstGeom prst="rect"/>
                    </p:spPr>
                  </p:pic>
                </a:graphicData>
              </a:graphic>
            </wp:inline>
          </w:drawing>
        </w:r>
      </w:hyperlink>
      <w:hyperlink r:id="r74">
        <w:r>
          <w:rPr>
            <w:rFonts w:ascii="Times New Roman" w:hAnsi="Times New Roman"/>
            <w:i/>
            <w:color w:val="000000"/>
            <w:sz w:val="20"/>
          </w:rPr>
          <w:t>Chevron</w:t>
        </w:r>
        <w:r>
          <w:rPr>
            <w:rFonts w:ascii="Times New Roman" w:hAnsi="Times New Roman"/>
            <w:color w:val="000000"/>
            <w:sz w:val="20"/>
          </w:rPr>
          <w:t>, 467 U.S. at 842-43, 104 S.Ct. 2778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39" w:name="co_anchor_I7f1f9e61cdfd11ea9f81bd68db15"/>
    <w:p>
      <w:pPr>
        <w:spacing w:before="400" w:after="0" w:line="275" w:lineRule="atLeast"/>
        <w:jc w:val="center"/>
      </w:pPr>
      <w:r>
        <w:rPr>
          <w:rFonts w:ascii="Times New Roman" w:hAnsi="Times New Roman"/>
          <w:color w:val="000000"/>
          <w:sz w:val="20"/>
        </w:rPr>
        <w:t>B. Law</w:t>
      </w:r>
    </w:p>
    <w:bookmarkEnd w:id="39"/>
    <w:p>
      <w:pPr>
        <w:spacing w:before="200" w:after="0" w:line="275" w:lineRule="atLeast"/>
        <w:jc w:val="both"/>
      </w:pPr>
      <w:hyperlink w:anchor="co_anchor_F22041293414_1">
        <w:r>
          <w:rPr>
            <w:rFonts w:ascii="Times New Roman" w:hAnsi="Times New Roman"/>
            <w:b/>
            <w:color w:val="000000"/>
            <w:sz w:val="20"/>
            <w:bdr w:val="none" w:space="2"/>
            <w:vertAlign w:val="superscript"/>
          </w:rPr>
          <w:t>[2]</w:t>
        </w:r>
      </w:hyperlink>
      <w:bookmarkStart w:id="40" w:name="co_anchor_B22041293414_1"/>
      <w:bookmarkEnd w:id="40"/>
      <w:r>
        <w:rPr>
          <w:rFonts w:ascii="Times New Roman" w:hAnsi="Times New Roman"/>
          <w:color w:val="000000"/>
          <w:sz w:val="20"/>
        </w:rPr>
        <w:t xml:space="preserve">¶ 15 The Commission is a creature of state statute and has only the powers conferred on it by the Act. </w:t>
      </w:r>
      <w:hyperlink r:id="r75">
        <w:r>
          <w:rPr>
            <w:rFonts w:ascii="Times New Roman" w:hAnsi="Times New Roman"/>
            <w:i/>
            <w:color w:val="000000"/>
            <w:sz w:val="20"/>
          </w:rPr>
          <w:t>Chase v. Colo. Oil &amp; Gas Conservation Comm'n</w:t>
        </w:r>
        <w:r>
          <w:rPr>
            <w:rFonts w:ascii="Times New Roman" w:hAnsi="Times New Roman"/>
            <w:color w:val="000000"/>
            <w:sz w:val="20"/>
          </w:rPr>
          <w:t>, 2012 COA 94, ¶ 26, 284 P.3d 161</w:t>
        </w:r>
      </w:hyperlink>
      <w:r>
        <w:rPr>
          <w:rFonts w:ascii="Times New Roman" w:hAnsi="Times New Roman"/>
          <w:color w:val="000000"/>
          <w:sz w:val="20"/>
        </w:rPr>
        <w:t xml:space="preserve">. The Act grants the Commission broad jurisdiction and empowers it to “make and enforce rules, regulations, and orders” and “to do whatever may reasonably be necessary” to carry out the provisions of the Act. </w:t>
      </w:r>
      <w:hyperlink r:id="r76">
        <w:r>
          <w:rPr>
            <w:rFonts w:ascii="Times New Roman" w:hAnsi="Times New Roman"/>
            <w:i/>
            <w:color w:val="000000"/>
            <w:sz w:val="20"/>
          </w:rPr>
          <w:t>Id.</w:t>
        </w:r>
      </w:hyperlink>
      <w:r>
        <w:rPr>
          <w:rFonts w:ascii="Times New Roman" w:hAnsi="Times New Roman"/>
          <w:color w:val="000000"/>
          <w:sz w:val="20"/>
        </w:rPr>
        <w:t xml:space="preserve"> (quoting </w:t>
      </w:r>
      <w:hyperlink r:id="r77">
        <w:r>
          <w:rPr>
            <w:rFonts w:ascii="Times New Roman" w:hAnsi="Times New Roman"/>
            <w:color w:val="000000"/>
            <w:sz w:val="20"/>
          </w:rPr>
          <w:t>§ 34-60-105(1)</w:t>
        </w:r>
      </w:hyperlink>
      <w:r>
        <w:rPr>
          <w:rFonts w:ascii="Times New Roman" w:hAnsi="Times New Roman"/>
          <w:color w:val="000000"/>
          <w:sz w:val="20"/>
        </w:rPr>
        <w:t xml:space="preserve">). Pursuant to the Act, the Commission is authorized to regulate “the drilling, producing, and plugging of wells and all other operations for the production of oil and gas.” </w:t>
      </w:r>
      <w:hyperlink r:id="r78">
        <w:r>
          <w:rPr>
            <w:rFonts w:ascii="Times New Roman" w:hAnsi="Times New Roman"/>
            <w:color w:val="000000"/>
            <w:sz w:val="30"/>
          </w:rPr>
          <w:drawing>
            <wp:inline>
              <wp:extent cx="161925" cy="161925"/>
              <wp:docPr id="21" name="Picture 3"/>
              <a:graphic>
                <a:graphicData uri="http://schemas.openxmlformats.org/drawingml/2006/picture">
                  <p:pic>
                    <p:nvPicPr>
                      <p:cNvPr id="22" name="Picture 3"/>
                      <p:cNvPicPr/>
                    </p:nvPicPr>
                    <p:blipFill>
                      <a:blip r:embed="r55"/>
                      <a:srcRect/>
                      <a:stretch>
                        <a:fillRect/>
                      </a:stretch>
                    </p:blipFill>
                    <p:spPr>
                      <a:xfrm>
                        <a:off x="0" y="0"/>
                        <a:ext cx="161925" cy="161925"/>
                      </a:xfrm>
                      <a:prstGeom prst="rect"/>
                    </p:spPr>
                  </p:pic>
                </a:graphicData>
              </a:graphic>
            </wp:inline>
          </w:drawing>
        </w:r>
      </w:hyperlink>
      <w:hyperlink r:id="r79">
        <w:r>
          <w:rPr>
            <w:rFonts w:ascii="Times New Roman" w:hAnsi="Times New Roman"/>
            <w:color w:val="000000"/>
            <w:sz w:val="20"/>
          </w:rPr>
          <w:t>§ 34-60-106(2)(a)</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16 Significantly here, the General Assembly declares that it is in the public interest to</w:t>
      </w:r>
    </w:p>
    <w:p>
      <w:pPr>
        <w:spacing w:before="200" w:after="0" w:line="275" w:lineRule="atLeast"/>
        <w:ind w:left="480" w:right="480" w:firstLine="0"/>
        <w:jc w:val="both"/>
      </w:pPr>
      <w:r>
        <w:rPr>
          <w:rFonts w:ascii="Times New Roman" w:hAnsi="Times New Roman"/>
          <w:color w:val="000000"/>
          <w:sz w:val="20"/>
        </w:rPr>
        <w:t xml:space="preserve">[f]oster the responsible, balanced development, production, and utilization of the natural resources of oil and gas in the state of Colorado </w:t>
      </w:r>
      <w:r>
        <w:rPr>
          <w:rFonts w:ascii="Times New Roman" w:hAnsi="Times New Roman"/>
          <w:i/>
          <w:color w:val="000000"/>
          <w:sz w:val="20"/>
        </w:rPr>
        <w:t>in a manner consistent with</w:t>
      </w:r>
      <w:r>
        <w:rPr>
          <w:rFonts w:ascii="Times New Roman" w:hAnsi="Times New Roman"/>
          <w:color w:val="000000"/>
          <w:sz w:val="20"/>
        </w:rPr>
        <w:t xml:space="preserve"> protection of public health, safety, and welfare, including protection of the environment and wildlife resources.</w:t>
      </w:r>
    </w:p>
    <w:p>
      <w:pPr>
        <w:spacing w:before="200" w:after="0" w:line="275" w:lineRule="atLeast"/>
        <w:jc w:val="both"/>
      </w:pPr>
      <w:hyperlink r:id="r80">
        <w:r>
          <w:rPr>
            <w:rFonts w:ascii="Times New Roman" w:hAnsi="Times New Roman"/>
            <w:color w:val="000000"/>
            <w:sz w:val="20"/>
          </w:rPr>
          <w:t>§ 34-60-102(1)(a)(I), C.R.S. 2016</w:t>
        </w:r>
      </w:hyperlink>
      <w:r>
        <w:rPr>
          <w:rFonts w:ascii="Times New Roman" w:hAnsi="Times New Roman"/>
          <w:color w:val="000000"/>
          <w:sz w:val="20"/>
        </w:rPr>
        <w:t xml:space="preserve"> (emphasis added).</w:t>
      </w:r>
    </w:p>
    <w:p>
      <w:pPr>
        <w:spacing w:before="0" w:after="0" w:line="275" w:lineRule="atLeast"/>
        <w:jc w:val="both"/>
      </w:pPr>
      <w:r>
        <w:rPr>
          <w:rFonts w:ascii="Times New Roman" w:hAnsi="Times New Roman"/>
          <w:color w:val="000000"/>
          <w:sz w:val="20"/>
        </w:rPr>
        <w:t> </w:t>
      </w:r>
    </w:p>
    <w:bookmarkStart w:id="41" w:name="co_anchor_I7f223671cdfd11ea9f81bd68db15"/>
    <w:p>
      <w:pPr>
        <w:spacing w:before="400" w:after="0" w:line="275" w:lineRule="atLeast"/>
        <w:jc w:val="center"/>
      </w:pPr>
      <w:r>
        <w:rPr>
          <w:rFonts w:ascii="Times New Roman" w:hAnsi="Times New Roman"/>
          <w:color w:val="000000"/>
          <w:sz w:val="20"/>
        </w:rPr>
        <w:t>C. Analysis</w:t>
      </w:r>
    </w:p>
    <w:bookmarkEnd w:id="41"/>
    <w:p>
      <w:pPr>
        <w:spacing w:before="200" w:after="0" w:line="275" w:lineRule="atLeast"/>
        <w:jc w:val="both"/>
      </w:pPr>
      <w:r>
        <w:rPr>
          <w:rFonts w:ascii="Times New Roman" w:hAnsi="Times New Roman"/>
          <w:color w:val="000000"/>
          <w:sz w:val="20"/>
        </w:rPr>
        <w:t xml:space="preserve">¶ 17 The Commission interpreted </w:t>
      </w:r>
      <w:hyperlink r:id="r81">
        <w:r>
          <w:rPr>
            <w:rFonts w:ascii="Times New Roman" w:hAnsi="Times New Roman"/>
            <w:color w:val="000000"/>
            <w:sz w:val="20"/>
          </w:rPr>
          <w:t>section 34-60-102(1)(a)(I)</w:t>
        </w:r>
      </w:hyperlink>
      <w:r>
        <w:rPr>
          <w:rFonts w:ascii="Times New Roman" w:hAnsi="Times New Roman"/>
          <w:color w:val="000000"/>
          <w:sz w:val="20"/>
        </w:rPr>
        <w:t xml:space="preserve"> as requiring a balance between oil and gas production and public health, safety, and welfare. The Commission concluded that Petitioners' suggested interpretation would “have required the Commission to readjust the balance crafted by the General Assembly under the Act, and is therefore beyond the Commission's limited grant of statutory authority.”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18 Petitioners argue that the Commission's interpretation renders the phrase “in a manner consistent with protection of public health, safety, and welfare” in </w:t>
      </w:r>
      <w:hyperlink r:id="r82">
        <w:r>
          <w:rPr>
            <w:rFonts w:ascii="Times New Roman" w:hAnsi="Times New Roman"/>
            <w:color w:val="000000"/>
            <w:sz w:val="20"/>
          </w:rPr>
          <w:t>section 34-60-102(1)(a)(I)</w:t>
        </w:r>
      </w:hyperlink>
      <w:r>
        <w:rPr>
          <w:rFonts w:ascii="Times New Roman" w:hAnsi="Times New Roman"/>
          <w:color w:val="000000"/>
          <w:sz w:val="20"/>
        </w:rPr>
        <w:t xml:space="preserve"> superfluous. Petitioners further contend that the balance sought by the General Assembly in </w:t>
      </w:r>
      <w:hyperlink r:id="r83">
        <w:r>
          <w:rPr>
            <w:rFonts w:ascii="Times New Roman" w:hAnsi="Times New Roman"/>
            <w:color w:val="000000"/>
            <w:sz w:val="20"/>
          </w:rPr>
          <w:t>section 34-60-102(1)(a)(I)</w:t>
        </w:r>
      </w:hyperlink>
      <w:r>
        <w:rPr>
          <w:rFonts w:ascii="Times New Roman" w:hAnsi="Times New Roman"/>
          <w:color w:val="000000"/>
          <w:sz w:val="20"/>
        </w:rPr>
        <w:t xml:space="preserve"> applies to the development, production, and utilization of oil and gas resources, which must be authorized in a balanced manner—meaning without causing waste—and subject to adequate consideration of public health, safety, and environmental and wildlife impacts. </w:t>
      </w:r>
      <w:r>
        <w:rPr>
          <w:rFonts w:ascii="Times New Roman" w:hAnsi="Times New Roman"/>
          <w:color w:val="000000"/>
          <w:sz w:val="20"/>
        </w:rPr>
        <w:t xml:space="preserve">Petitioners maintain that the Commission incorrectly interpreted the plain language of </w:t>
      </w:r>
      <w:hyperlink r:id="r84">
        <w:r>
          <w:rPr>
            <w:rFonts w:ascii="Times New Roman" w:hAnsi="Times New Roman"/>
            <w:color w:val="000000"/>
            <w:sz w:val="20"/>
          </w:rPr>
          <w:t>section 34-60-102(1)(a)(I)</w:t>
        </w:r>
      </w:hyperlink>
      <w:r>
        <w:rPr>
          <w:rFonts w:ascii="Times New Roman" w:hAnsi="Times New Roman"/>
          <w:color w:val="000000"/>
          <w:sz w:val="20"/>
        </w:rPr>
        <w:t xml:space="preserve"> and, in doing so, erred in denying their petition for rulemaking.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19 We agree with Petitioners, the Commission, and the district court that the language of </w:t>
      </w:r>
      <w:hyperlink r:id="r85">
        <w:r>
          <w:rPr>
            <w:rFonts w:ascii="Times New Roman" w:hAnsi="Times New Roman"/>
            <w:color w:val="000000"/>
            <w:sz w:val="20"/>
          </w:rPr>
          <w:t>section 34-60-102(1)(a)(I)</w:t>
        </w:r>
      </w:hyperlink>
      <w:r>
        <w:rPr>
          <w:rFonts w:ascii="Times New Roman" w:hAnsi="Times New Roman"/>
          <w:color w:val="000000"/>
          <w:sz w:val="20"/>
        </w:rPr>
        <w:t xml:space="preserve"> is clear and unambiguous, but we conclude that it unambiguously supports a conclusion different from that reached by the Commission and the district court. The Act clearly states that fostering “responsible, balanced development, </w:t>
      </w:r>
      <w:bookmarkStart w:id="42" w:name="co_pp_sp_4645_693_1"/>
      <w:r>
        <w:rPr>
          <w:rFonts w:ascii="Times New Roman" w:hAnsi="Times New Roman"/>
          <w:b/>
          <w:color w:val="000000"/>
          <w:sz w:val="20"/>
        </w:rPr>
        <w:t>*693</w:t>
      </w:r>
      <w:bookmarkEnd w:id="42"/>
      <w:r>
        <w:rPr>
          <w:rFonts w:ascii="Times New Roman" w:hAnsi="Times New Roman"/>
          <w:color w:val="000000"/>
          <w:sz w:val="20"/>
        </w:rPr>
        <w:t xml:space="preserve"> production, and utilization of the natural resources” is in the public interest. </w:t>
      </w:r>
      <w:hyperlink r:id="r86">
        <w:r>
          <w:rPr>
            <w:rFonts w:ascii="Times New Roman" w:hAnsi="Times New Roman"/>
            <w:color w:val="000000"/>
            <w:sz w:val="20"/>
          </w:rPr>
          <w:t>§ 34-60-102(1)(a)(I)</w:t>
        </w:r>
      </w:hyperlink>
      <w:r>
        <w:rPr>
          <w:rFonts w:ascii="Times New Roman" w:hAnsi="Times New Roman"/>
          <w:color w:val="000000"/>
          <w:sz w:val="20"/>
        </w:rPr>
        <w:t xml:space="preserve">. Then, the Act qualifies itself by adding the key phrase “in a manner consistent with” the protection of public health and other related concerns. </w:t>
      </w:r>
      <w:r>
        <w:rPr>
          <w:rFonts w:ascii="Times New Roman" w:hAnsi="Times New Roman"/>
          <w:i/>
          <w:color w:val="000000"/>
          <w:sz w:val="20"/>
        </w:rPr>
        <w:t>Id.</w:t>
      </w:r>
      <w:r>
        <w:rPr>
          <w:rFonts w:ascii="Times New Roman" w:hAnsi="Times New Roman"/>
          <w:color w:val="000000"/>
          <w:sz w:val="20"/>
        </w:rPr>
        <w:t xml:space="preserve">; </w:t>
      </w:r>
      <w:r>
        <w:rPr>
          <w:rFonts w:ascii="Times New Roman" w:hAnsi="Times New Roman"/>
          <w:i/>
          <w:color w:val="000000"/>
          <w:sz w:val="20"/>
        </w:rPr>
        <w:t xml:space="preserve">see also </w:t>
      </w:r>
      <w:hyperlink r:id="r87">
        <w:r>
          <w:rPr>
            <w:rFonts w:ascii="Times New Roman" w:hAnsi="Times New Roman"/>
            <w:color w:val="000000"/>
            <w:sz w:val="30"/>
          </w:rPr>
          <w:drawing>
            <wp:inline>
              <wp:extent cx="161925" cy="161925"/>
              <wp:docPr id="23" name="Picture 3"/>
              <a:graphic>
                <a:graphicData uri="http://schemas.openxmlformats.org/drawingml/2006/picture">
                  <p:pic>
                    <p:nvPicPr>
                      <p:cNvPr id="24" name="Picture 3"/>
                      <p:cNvPicPr/>
                    </p:nvPicPr>
                    <p:blipFill>
                      <a:blip r:embed="r55"/>
                      <a:srcRect/>
                      <a:stretch>
                        <a:fillRect/>
                      </a:stretch>
                    </p:blipFill>
                    <p:spPr>
                      <a:xfrm>
                        <a:off x="0" y="0"/>
                        <a:ext cx="161925" cy="161925"/>
                      </a:xfrm>
                      <a:prstGeom prst="rect"/>
                    </p:spPr>
                  </p:pic>
                </a:graphicData>
              </a:graphic>
            </wp:inline>
          </w:drawing>
        </w:r>
      </w:hyperlink>
      <w:hyperlink r:id="r88">
        <w:r>
          <w:rPr>
            <w:rFonts w:ascii="Times New Roman" w:hAnsi="Times New Roman"/>
            <w:i/>
            <w:color w:val="000000"/>
            <w:sz w:val="20"/>
          </w:rPr>
          <w:t>City of Jefferson City v. Cingular Wireless, LLC</w:t>
        </w:r>
        <w:r>
          <w:rPr>
            <w:rFonts w:ascii="Times New Roman" w:hAnsi="Times New Roman"/>
            <w:color w:val="000000"/>
            <w:sz w:val="20"/>
          </w:rPr>
          <w:t>, 531 F.3d 595, 611 (8th Cir. 2008)</w:t>
        </w:r>
      </w:hyperlink>
      <w:r>
        <w:rPr>
          <w:rFonts w:ascii="Times New Roman" w:hAnsi="Times New Roman"/>
          <w:color w:val="000000"/>
          <w:sz w:val="20"/>
        </w:rPr>
        <w:t xml:space="preserve"> (the fact that parties disagree about what a statute means does not itself create ambiguity).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20 Contrary to the Commission's conclusion, the use, in section 34-60-102(1)(a)(I), of the term “balanced” relates to and modifies “development, production, and utilization.” As used in the plain text, “balanced” is an adjective which modifies the nouns “development, production, and utilization.” </w:t>
      </w:r>
      <w:r>
        <w:rPr>
          <w:rFonts w:ascii="Times New Roman" w:hAnsi="Times New Roman"/>
          <w:i/>
          <w:color w:val="000000"/>
          <w:sz w:val="20"/>
        </w:rPr>
        <w:t>See</w:t>
      </w:r>
      <w:r>
        <w:rPr>
          <w:rFonts w:ascii="Times New Roman" w:hAnsi="Times New Roman"/>
          <w:color w:val="000000"/>
          <w:sz w:val="20"/>
        </w:rPr>
        <w:t xml:space="preserve"> </w:t>
      </w:r>
      <w:hyperlink r:id="r89">
        <w:r>
          <w:rPr>
            <w:rFonts w:ascii="Times New Roman" w:hAnsi="Times New Roman"/>
            <w:color w:val="000000"/>
            <w:sz w:val="20"/>
          </w:rPr>
          <w:t>§ 34-60-102(1)(a)(I)</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90">
        <w:r>
          <w:rPr>
            <w:rFonts w:ascii="Times New Roman" w:hAnsi="Times New Roman"/>
            <w:color w:val="000000"/>
            <w:sz w:val="30"/>
          </w:rPr>
          <w:drawing>
            <wp:inline>
              <wp:extent cx="161925" cy="161925"/>
              <wp:docPr id="25" name="Picture 3"/>
              <a:graphic>
                <a:graphicData uri="http://schemas.openxmlformats.org/drawingml/2006/picture">
                  <p:pic>
                    <p:nvPicPr>
                      <p:cNvPr id="26" name="Picture 3"/>
                      <p:cNvPicPr/>
                    </p:nvPicPr>
                    <p:blipFill>
                      <a:blip r:embed="r55"/>
                      <a:srcRect/>
                      <a:stretch>
                        <a:fillRect/>
                      </a:stretch>
                    </p:blipFill>
                    <p:spPr>
                      <a:xfrm>
                        <a:off x="0" y="0"/>
                        <a:ext cx="161925" cy="161925"/>
                      </a:xfrm>
                      <a:prstGeom prst="rect"/>
                    </p:spPr>
                  </p:pic>
                </a:graphicData>
              </a:graphic>
            </wp:inline>
          </w:drawing>
        </w:r>
      </w:hyperlink>
      <w:hyperlink r:id="r91">
        <w:r>
          <w:rPr>
            <w:rFonts w:ascii="Times New Roman" w:hAnsi="Times New Roman"/>
            <w:i/>
            <w:color w:val="000000"/>
            <w:sz w:val="20"/>
          </w:rPr>
          <w:t>Double D Manor, Inc. v. Evergreen Meadows Homeowners' Ass'n</w:t>
        </w:r>
        <w:r>
          <w:rPr>
            <w:rFonts w:ascii="Times New Roman" w:hAnsi="Times New Roman"/>
            <w:color w:val="000000"/>
            <w:sz w:val="20"/>
          </w:rPr>
          <w:t>, 773 P.2d 1046, 1048 (Colo. 1989)</w:t>
        </w:r>
      </w:hyperlink>
      <w:r>
        <w:rPr>
          <w:rFonts w:ascii="Times New Roman" w:hAnsi="Times New Roman"/>
          <w:color w:val="000000"/>
          <w:sz w:val="20"/>
        </w:rPr>
        <w:t xml:space="preserve"> (an adjective modifies a noun that follows it). The remaining provisions in </w:t>
      </w:r>
      <w:hyperlink r:id="r92">
        <w:r>
          <w:rPr>
            <w:rFonts w:ascii="Times New Roman" w:hAnsi="Times New Roman"/>
            <w:color w:val="000000"/>
            <w:sz w:val="20"/>
          </w:rPr>
          <w:t>section 34-60-102(1)(a)(I)</w:t>
        </w:r>
      </w:hyperlink>
      <w:r>
        <w:rPr>
          <w:rFonts w:ascii="Times New Roman" w:hAnsi="Times New Roman"/>
          <w:color w:val="000000"/>
          <w:sz w:val="20"/>
        </w:rPr>
        <w:t xml:space="preserve"> are not affected by the term “balanced.”</w:t>
      </w:r>
      <w:bookmarkStart w:id="43" w:name="co_fnRef_B00042041293414_ID0EWFAG_1"/>
      <w:hyperlink w:anchor="co_footnote_B00042041293414_1">
        <w:r>
          <w:rPr>
            <w:rFonts w:ascii="Times New Roman" w:hAnsi="Times New Roman"/>
            <w:color w:val="000000"/>
            <w:sz w:val="16"/>
            <w:vertAlign w:val="superscript"/>
          </w:rPr>
          <w:t>4</w:t>
        </w:r>
      </w:hyperlink>
      <w:bookmarkEnd w:id="43"/>
      <w:r>
        <w:rPr>
          <w:rFonts w:ascii="Times New Roman" w:hAnsi="Times New Roman"/>
          <w:color w:val="000000"/>
          <w:sz w:val="20"/>
        </w:rPr>
        <w:t xml:space="preserve"> Instead, the statutory language provides that fostering balanced development is in the public interest when that balanced development is completed “in a manner consistent with” public health, safety, and environmental and wildlife impacts. </w:t>
      </w:r>
      <w:hyperlink r:id="r93">
        <w:r>
          <w:rPr>
            <w:rFonts w:ascii="Times New Roman" w:hAnsi="Times New Roman"/>
            <w:color w:val="000000"/>
            <w:sz w:val="20"/>
          </w:rPr>
          <w:t>§ 34-60-102(1)(a)(I)</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94">
        <w:r>
          <w:rPr>
            <w:rFonts w:ascii="Times New Roman" w:hAnsi="Times New Roman"/>
            <w:color w:val="000000"/>
            <w:sz w:val="30"/>
          </w:rPr>
          <w:drawing>
            <wp:inline>
              <wp:extent cx="161925" cy="161925"/>
              <wp:docPr id="27" name="Picture 3"/>
              <a:graphic>
                <a:graphicData uri="http://schemas.openxmlformats.org/drawingml/2006/picture">
                  <p:pic>
                    <p:nvPicPr>
                      <p:cNvPr id="28" name="Picture 3"/>
                      <p:cNvPicPr/>
                    </p:nvPicPr>
                    <p:blipFill>
                      <a:blip r:embed="r55"/>
                      <a:srcRect/>
                      <a:stretch>
                        <a:fillRect/>
                      </a:stretch>
                    </p:blipFill>
                    <p:spPr>
                      <a:xfrm>
                        <a:off x="0" y="0"/>
                        <a:ext cx="161925" cy="161925"/>
                      </a:xfrm>
                      <a:prstGeom prst="rect"/>
                    </p:spPr>
                  </p:pic>
                </a:graphicData>
              </a:graphic>
            </wp:inline>
          </w:drawing>
        </w:r>
      </w:hyperlink>
      <w:hyperlink r:id="r95">
        <w:r>
          <w:rPr>
            <w:rFonts w:ascii="Times New Roman" w:hAnsi="Times New Roman"/>
            <w:i/>
            <w:color w:val="000000"/>
            <w:sz w:val="20"/>
          </w:rPr>
          <w:t>Gerrity Oil &amp; Gas Corp. v. Magness</w:t>
        </w:r>
        <w:r>
          <w:rPr>
            <w:rFonts w:ascii="Times New Roman" w:hAnsi="Times New Roman"/>
            <w:color w:val="000000"/>
            <w:sz w:val="20"/>
          </w:rPr>
          <w:t>, 946 P.2d 913, 925 (Colo. 1997)</w:t>
        </w:r>
      </w:hyperlink>
      <w:r>
        <w:rPr>
          <w:rFonts w:ascii="Times New Roman" w:hAnsi="Times New Roman"/>
          <w:color w:val="000000"/>
          <w:sz w:val="20"/>
        </w:rPr>
        <w:t xml:space="preserve"> (recognizing that the Act's purposes are “to encourage the production of oil and gas in a manner that protects public health and safety and prevents waste”).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41293414_1">
        <w:r>
          <w:rPr>
            <w:rFonts w:ascii="Times New Roman" w:hAnsi="Times New Roman"/>
            <w:b/>
            <w:color w:val="000000"/>
            <w:sz w:val="20"/>
            <w:bdr w:val="none" w:space="2"/>
            <w:vertAlign w:val="superscript"/>
          </w:rPr>
          <w:t>[3]</w:t>
        </w:r>
      </w:hyperlink>
      <w:bookmarkStart w:id="44" w:name="co_anchor_B32041293414_1"/>
      <w:bookmarkEnd w:id="44"/>
      <w:r>
        <w:rPr>
          <w:rFonts w:ascii="Times New Roman" w:hAnsi="Times New Roman"/>
          <w:color w:val="000000"/>
          <w:sz w:val="20"/>
        </w:rPr>
        <w:t>¶ 21 Critical here is the proper interpretation of the phrase “in a manner consistent with.” We agree with Petitioners that “in a manner consistent with” does not indicate a balancing test but rather a condition that must be fulfilled. This interpretation is supported by similar interpretations from our supreme court as well as the commonly understood use of the phrase as evidenced by its general use in statutes and judicial opinions.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22 The Colorado Supreme Court, when asked to interpret certain provisions of the Local Government Land Use Control Enabling Act of 1974, </w:t>
      </w:r>
      <w:hyperlink r:id="r96">
        <w:r>
          <w:rPr>
            <w:rFonts w:ascii="Times New Roman" w:hAnsi="Times New Roman"/>
            <w:color w:val="000000"/>
            <w:sz w:val="20"/>
          </w:rPr>
          <w:t>§ 29-20-102, C.R.S. 2016</w:t>
        </w:r>
      </w:hyperlink>
      <w:r>
        <w:rPr>
          <w:rFonts w:ascii="Times New Roman" w:hAnsi="Times New Roman"/>
          <w:color w:val="000000"/>
          <w:sz w:val="20"/>
        </w:rPr>
        <w:t xml:space="preserve">, explicitly and clearly interpreted the phrase “in a manner consistent with” as meaning “subject to.” </w:t>
      </w:r>
      <w:r>
        <w:rPr>
          <w:rFonts w:ascii="Times New Roman" w:hAnsi="Times New Roman"/>
          <w:i/>
          <w:color w:val="000000"/>
          <w:sz w:val="20"/>
        </w:rPr>
        <w:t xml:space="preserve">See </w:t>
      </w:r>
      <w:hyperlink r:id="r97">
        <w:r>
          <w:rPr>
            <w:rFonts w:ascii="Times New Roman" w:hAnsi="Times New Roman"/>
            <w:i/>
            <w:color w:val="000000"/>
            <w:sz w:val="20"/>
          </w:rPr>
          <w:t>Droste</w:t>
        </w:r>
        <w:r>
          <w:rPr>
            <w:rFonts w:ascii="Times New Roman" w:hAnsi="Times New Roman"/>
            <w:color w:val="000000"/>
            <w:sz w:val="20"/>
          </w:rPr>
          <w:t>, 159 P.3d at 606</w:t>
        </w:r>
      </w:hyperlink>
      <w:r>
        <w:rPr>
          <w:rFonts w:ascii="Times New Roman" w:hAnsi="Times New Roman"/>
          <w:color w:val="000000"/>
          <w:sz w:val="20"/>
        </w:rPr>
        <w:t xml:space="preserve">. There, the court interpreted the statutory phrase “in a manner consistent with constitutional rights” as meaning “subject to the constitutional rights of the property owner[.]” </w:t>
      </w:r>
      <w:hyperlink r:id="r98">
        <w:r>
          <w:rPr>
            <w:rFonts w:ascii="Times New Roman" w:hAnsi="Times New Roman"/>
            <w:i/>
            <w:color w:val="000000"/>
            <w:sz w:val="20"/>
          </w:rPr>
          <w:t>Id.</w:t>
        </w:r>
      </w:hyperlink>
      <w:r>
        <w:rPr>
          <w:rFonts w:ascii="Times New Roman" w:hAnsi="Times New Roman"/>
          <w:color w:val="000000"/>
          <w:sz w:val="20"/>
        </w:rPr>
        <w:t xml:space="preserve"> This interpretation supports our conclusion that the language of the Act does not create a balancing test weighing safety and public health interests against development of oil and gas resources, but rather, the Act indicates that fostering balanced, nonwasteful development is in the public interest when that development is completed subject to the protection of public health, safety, and welfare, including protection of the environment and wildlife resources. </w:t>
      </w:r>
      <w:r>
        <w:rPr>
          <w:rFonts w:ascii="Times New Roman" w:hAnsi="Times New Roman"/>
          <w:i/>
          <w:color w:val="000000"/>
          <w:sz w:val="20"/>
        </w:rPr>
        <w:t>See</w:t>
      </w:r>
      <w:r>
        <w:rPr>
          <w:rFonts w:ascii="Times New Roman" w:hAnsi="Times New Roman"/>
          <w:color w:val="000000"/>
          <w:sz w:val="20"/>
        </w:rPr>
        <w:t xml:space="preserve"> </w:t>
      </w:r>
      <w:hyperlink r:id="r99">
        <w:r>
          <w:rPr>
            <w:rFonts w:ascii="Times New Roman" w:hAnsi="Times New Roman"/>
            <w:color w:val="000000"/>
            <w:sz w:val="20"/>
          </w:rPr>
          <w:t>§ 34-60-102(1)(a)(I)</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23 Interpreting the phrase “in a manner consistent with” as a balancing test disregards the plain meaning of the phrase. </w:t>
      </w:r>
      <w:r>
        <w:rPr>
          <w:rFonts w:ascii="Times New Roman" w:hAnsi="Times New Roman"/>
          <w:color w:val="000000"/>
          <w:sz w:val="20"/>
        </w:rPr>
        <w:t xml:space="preserve">The phrase denotes more than a mere balancing. Cases in Colorado are replete with instances where the phrase is used to denote “subject to” rather than “balanced with.” </w:t>
      </w:r>
      <w:r>
        <w:rPr>
          <w:rFonts w:ascii="Times New Roman" w:hAnsi="Times New Roman"/>
          <w:i/>
          <w:color w:val="000000"/>
          <w:sz w:val="20"/>
        </w:rPr>
        <w:t>See, e.g.</w:t>
      </w:r>
      <w:r>
        <w:rPr>
          <w:rFonts w:ascii="Times New Roman" w:hAnsi="Times New Roman"/>
          <w:color w:val="000000"/>
          <w:sz w:val="20"/>
        </w:rPr>
        <w:t xml:space="preserve">, </w:t>
      </w:r>
      <w:hyperlink r:id="r100">
        <w:r>
          <w:rPr>
            <w:rFonts w:ascii="Times New Roman" w:hAnsi="Times New Roman"/>
            <w:i/>
            <w:color w:val="000000"/>
            <w:sz w:val="20"/>
          </w:rPr>
          <w:t>People v. Baez-Lopez</w:t>
        </w:r>
        <w:r>
          <w:rPr>
            <w:rFonts w:ascii="Times New Roman" w:hAnsi="Times New Roman"/>
            <w:color w:val="000000"/>
            <w:sz w:val="20"/>
          </w:rPr>
          <w:t>, 2014 CO 26, ¶ 28, 322 P.3d 924</w:t>
        </w:r>
      </w:hyperlink>
      <w:r>
        <w:rPr>
          <w:rFonts w:ascii="Times New Roman" w:hAnsi="Times New Roman"/>
          <w:color w:val="000000"/>
          <w:sz w:val="20"/>
        </w:rPr>
        <w:t xml:space="preserve"> (“[W]e conclude that the recordings were physically sealed and preserved in a manner consistent with section 16-15-102(8)(a).”); </w:t>
      </w:r>
      <w:hyperlink r:id="r101">
        <w:r>
          <w:rPr>
            <w:rFonts w:ascii="Times New Roman" w:hAnsi="Times New Roman"/>
            <w:i/>
            <w:color w:val="000000"/>
            <w:sz w:val="20"/>
          </w:rPr>
          <w:t>In re Great Outdoors Colo. Tr. Fund</w:t>
        </w:r>
        <w:r>
          <w:rPr>
            <w:rFonts w:ascii="Times New Roman" w:hAnsi="Times New Roman"/>
            <w:color w:val="000000"/>
            <w:sz w:val="20"/>
          </w:rPr>
          <w:t>, 913 P.2d 533, 539 (Colo. 1996)</w:t>
        </w:r>
      </w:hyperlink>
      <w:r>
        <w:rPr>
          <w:rFonts w:ascii="Times New Roman" w:hAnsi="Times New Roman"/>
          <w:color w:val="000000"/>
          <w:sz w:val="20"/>
        </w:rPr>
        <w:t xml:space="preserve"> (“In enacting legislation, the General Assembly is authorized to resolve ambiguities in constitutional amendments in a manner consistent with the terms and underlying purposes of the constitutional provisions.”); </w:t>
      </w:r>
      <w:hyperlink r:id="r102">
        <w:r>
          <w:rPr>
            <w:rFonts w:ascii="Times New Roman" w:hAnsi="Times New Roman"/>
            <w:i/>
            <w:color w:val="000000"/>
            <w:sz w:val="20"/>
          </w:rPr>
          <w:t>Stan Clauson Assocs., Inc. v. Coleman Bros. Constr., LLC</w:t>
        </w:r>
        <w:r>
          <w:rPr>
            <w:rFonts w:ascii="Times New Roman" w:hAnsi="Times New Roman"/>
            <w:color w:val="000000"/>
            <w:sz w:val="20"/>
          </w:rPr>
          <w:t>, 2013 COA 7, ¶ 10, 297 P.3d 1042</w:t>
        </w:r>
      </w:hyperlink>
      <w:r>
        <w:rPr>
          <w:rFonts w:ascii="Times New Roman" w:hAnsi="Times New Roman"/>
          <w:color w:val="000000"/>
          <w:sz w:val="20"/>
        </w:rPr>
        <w:t xml:space="preserve"> (“Professional standards of care reflect the policy that members of professions must do their work not just reasonably well, but rather ‘in a manner consistent with members of the profession in good standing.’ ” (quoting </w:t>
      </w:r>
      <w:bookmarkStart w:id="45" w:name="co_pp_sp_4645_694_1"/>
      <w:r>
        <w:rPr>
          <w:rFonts w:ascii="Times New Roman" w:hAnsi="Times New Roman"/>
          <w:b/>
          <w:color w:val="000000"/>
          <w:sz w:val="20"/>
        </w:rPr>
        <w:t>*694</w:t>
      </w:r>
      <w:bookmarkEnd w:id="45"/>
      <w:r>
        <w:rPr>
          <w:rFonts w:ascii="Times New Roman" w:hAnsi="Times New Roman"/>
          <w:color w:val="000000"/>
          <w:sz w:val="20"/>
        </w:rPr>
        <w:t xml:space="preserve"> </w:t>
      </w:r>
      <w:hyperlink r:id="r103">
        <w:r>
          <w:rPr>
            <w:rFonts w:ascii="Times New Roman" w:hAnsi="Times New Roman"/>
            <w:i/>
            <w:color w:val="000000"/>
            <w:sz w:val="20"/>
          </w:rPr>
          <w:t>Command</w:t>
        </w:r>
        <w:r>
          <w:rPr>
            <w:rFonts w:ascii="Times New Roman" w:hAnsi="Times New Roman"/>
            <w:i/>
            <w:color w:val="000000"/>
            <w:sz w:val="20"/>
          </w:rPr>
          <w:t xml:space="preserve"> Commc'ns, Inc. v. Fritz Cos.</w:t>
        </w:r>
        <w:r>
          <w:rPr>
            <w:rFonts w:ascii="Times New Roman" w:hAnsi="Times New Roman"/>
            <w:color w:val="000000"/>
            <w:sz w:val="20"/>
          </w:rPr>
          <w:t>, 36 P.3d 182, 189 (Colo. App. 2001)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24 The phrase is often used in the dispositional language of opinions from this court and other appellate courts. Divisions of this court, when remanding a case to a district court for further proceedings, often use language similar to “the case is remanded for proceedings in a manner consistent with this opinion.” </w:t>
      </w:r>
      <w:r>
        <w:rPr>
          <w:rFonts w:ascii="Times New Roman" w:hAnsi="Times New Roman"/>
          <w:i/>
          <w:color w:val="000000"/>
          <w:sz w:val="20"/>
        </w:rPr>
        <w:t>See</w:t>
      </w:r>
      <w:r>
        <w:rPr>
          <w:rFonts w:ascii="Times New Roman" w:hAnsi="Times New Roman"/>
          <w:color w:val="000000"/>
          <w:sz w:val="20"/>
        </w:rPr>
        <w:t xml:space="preserve"> </w:t>
      </w:r>
      <w:hyperlink r:id="r104">
        <w:r>
          <w:rPr>
            <w:rFonts w:ascii="Times New Roman" w:hAnsi="Times New Roman"/>
            <w:i/>
            <w:color w:val="000000"/>
            <w:sz w:val="20"/>
          </w:rPr>
          <w:t>Vashone-Caruso v. Suthers</w:t>
        </w:r>
        <w:r>
          <w:rPr>
            <w:rFonts w:ascii="Times New Roman" w:hAnsi="Times New Roman"/>
            <w:color w:val="000000"/>
            <w:sz w:val="20"/>
          </w:rPr>
          <w:t>, 29 P.3d 339, 345 (Colo. App. 2001)</w:t>
        </w:r>
      </w:hyperlink>
      <w:r>
        <w:rPr>
          <w:rFonts w:ascii="Times New Roman" w:hAnsi="Times New Roman"/>
          <w:color w:val="000000"/>
          <w:sz w:val="20"/>
        </w:rPr>
        <w:t xml:space="preserve">; </w:t>
      </w:r>
      <w:hyperlink r:id="r105">
        <w:r>
          <w:rPr>
            <w:rFonts w:ascii="Times New Roman" w:hAnsi="Times New Roman"/>
            <w:i/>
            <w:color w:val="000000"/>
            <w:sz w:val="20"/>
          </w:rPr>
          <w:t>1st Am. Sav. Bank v. Boulder Cty. Bd. of Comm'rs</w:t>
        </w:r>
        <w:r>
          <w:rPr>
            <w:rFonts w:ascii="Times New Roman" w:hAnsi="Times New Roman"/>
            <w:color w:val="000000"/>
            <w:sz w:val="20"/>
          </w:rPr>
          <w:t>, 888 P.2d 360, 363 (Colo. App. 1994)</w:t>
        </w:r>
      </w:hyperlink>
      <w:r>
        <w:rPr>
          <w:rFonts w:ascii="Times New Roman" w:hAnsi="Times New Roman"/>
          <w:color w:val="000000"/>
          <w:sz w:val="20"/>
        </w:rPr>
        <w:t>. The intention of the phrase “in a manner consistent with” in these settings is not to instruct a court on remand to take action in a manner “balanced with” the opinion from the appellate court, but instead instructs that the court on remand must take action subject to the appellate opinion.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25 As used in the Act, the phrase qualifies the preceding provision, promoting the development of oil and gas. </w:t>
      </w:r>
      <w:r>
        <w:rPr>
          <w:rFonts w:ascii="Times New Roman" w:hAnsi="Times New Roman"/>
          <w:i/>
          <w:color w:val="000000"/>
          <w:sz w:val="20"/>
        </w:rPr>
        <w:t>See</w:t>
      </w:r>
      <w:r>
        <w:rPr>
          <w:rFonts w:ascii="Times New Roman" w:hAnsi="Times New Roman"/>
          <w:color w:val="000000"/>
          <w:sz w:val="20"/>
        </w:rPr>
        <w:t xml:space="preserve"> </w:t>
      </w:r>
      <w:hyperlink r:id="r106">
        <w:r>
          <w:rPr>
            <w:rFonts w:ascii="Times New Roman" w:hAnsi="Times New Roman"/>
            <w:color w:val="000000"/>
            <w:sz w:val="20"/>
          </w:rPr>
          <w:t>§ 34-60-102(1)(a)(I)</w:t>
        </w:r>
      </w:hyperlink>
      <w:r>
        <w:rPr>
          <w:rFonts w:ascii="Times New Roman" w:hAnsi="Times New Roman"/>
          <w:color w:val="000000"/>
          <w:sz w:val="20"/>
        </w:rPr>
        <w:t xml:space="preserve">. We therefore conclude that the Commission erred in interpreting </w:t>
      </w:r>
      <w:hyperlink r:id="r107">
        <w:r>
          <w:rPr>
            <w:rFonts w:ascii="Times New Roman" w:hAnsi="Times New Roman"/>
            <w:color w:val="000000"/>
            <w:sz w:val="20"/>
          </w:rPr>
          <w:t>section 34-60-102(1)(a)(I)</w:t>
        </w:r>
      </w:hyperlink>
      <w:r>
        <w:rPr>
          <w:rFonts w:ascii="Times New Roman" w:hAnsi="Times New Roman"/>
          <w:color w:val="000000"/>
          <w:sz w:val="20"/>
        </w:rPr>
        <w:t xml:space="preserve"> as requiring a balance between development and public health, safety, and welfare. The plain meaning of the statutory language indicates that fostering balanced, nonwasteful development is in the public interest when that development is completed subject to the protection of public health, safety, and welfare. </w:t>
      </w:r>
      <w:r>
        <w:rPr>
          <w:rFonts w:ascii="Times New Roman" w:hAnsi="Times New Roman"/>
          <w:i/>
          <w:color w:val="000000"/>
          <w:sz w:val="20"/>
        </w:rPr>
        <w:t>See</w:t>
      </w:r>
      <w:r>
        <w:rPr>
          <w:rFonts w:ascii="Times New Roman" w:hAnsi="Times New Roman"/>
          <w:color w:val="000000"/>
          <w:sz w:val="20"/>
        </w:rPr>
        <w:t xml:space="preserve"> </w:t>
      </w:r>
      <w:hyperlink r:id="r108">
        <w:r>
          <w:rPr>
            <w:rFonts w:ascii="Times New Roman" w:hAnsi="Times New Roman"/>
            <w:color w:val="000000"/>
            <w:sz w:val="20"/>
          </w:rPr>
          <w:t>§ 34-60-102(1)(a)(I)</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109">
        <w:r>
          <w:rPr>
            <w:rFonts w:ascii="Times New Roman" w:hAnsi="Times New Roman"/>
            <w:color w:val="000000"/>
            <w:sz w:val="30"/>
          </w:rPr>
          <w:drawing>
            <wp:inline>
              <wp:extent cx="161925" cy="161925"/>
              <wp:docPr id="29" name="Picture 3"/>
              <a:graphic>
                <a:graphicData uri="http://schemas.openxmlformats.org/drawingml/2006/picture">
                  <p:pic>
                    <p:nvPicPr>
                      <p:cNvPr id="30" name="Picture 3"/>
                      <p:cNvPicPr/>
                    </p:nvPicPr>
                    <p:blipFill>
                      <a:blip r:embed="r55"/>
                      <a:srcRect/>
                      <a:stretch>
                        <a:fillRect/>
                      </a:stretch>
                    </p:blipFill>
                    <p:spPr>
                      <a:xfrm>
                        <a:off x="0" y="0"/>
                        <a:ext cx="161925" cy="161925"/>
                      </a:xfrm>
                      <a:prstGeom prst="rect"/>
                    </p:spPr>
                  </p:pic>
                </a:graphicData>
              </a:graphic>
            </wp:inline>
          </w:drawing>
        </w:r>
      </w:hyperlink>
      <w:hyperlink r:id="r110">
        <w:r>
          <w:rPr>
            <w:rFonts w:ascii="Times New Roman" w:hAnsi="Times New Roman"/>
            <w:i/>
            <w:color w:val="000000"/>
            <w:sz w:val="20"/>
          </w:rPr>
          <w:t>Gerrity Oil &amp; Gas Corp.</w:t>
        </w:r>
        <w:r>
          <w:rPr>
            <w:rFonts w:ascii="Times New Roman" w:hAnsi="Times New Roman"/>
            <w:color w:val="000000"/>
            <w:sz w:val="20"/>
          </w:rPr>
          <w:t>, 946 P.2d at 925</w:t>
        </w:r>
      </w:hyperlink>
      <w:r>
        <w:rPr>
          <w:rFonts w:ascii="Times New Roman" w:hAnsi="Times New Roman"/>
          <w:color w:val="000000"/>
          <w:sz w:val="20"/>
        </w:rPr>
        <w:t>.</w:t>
      </w:r>
      <w:bookmarkStart w:id="46" w:name="co_fnRef_B00052041293414_ID0EBSAG_1"/>
      <w:hyperlink w:anchor="co_footnote_B00052041293414_1">
        <w:r>
          <w:rPr>
            <w:rFonts w:ascii="Times New Roman" w:hAnsi="Times New Roman"/>
            <w:color w:val="000000"/>
            <w:sz w:val="16"/>
            <w:vertAlign w:val="superscript"/>
          </w:rPr>
          <w:t>5</w:t>
        </w:r>
      </w:hyperlink>
      <w:bookmarkEnd w:id="46"/>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26 Our interpretation also gives meaning to all of the words in the statute, whereas the Commission's interpretation effectively disregarded the phrase “in a manner consistent with.” </w:t>
      </w:r>
      <w:r>
        <w:rPr>
          <w:rFonts w:ascii="Times New Roman" w:hAnsi="Times New Roman"/>
          <w:i/>
          <w:color w:val="000000"/>
          <w:sz w:val="20"/>
        </w:rPr>
        <w:t xml:space="preserve">See </w:t>
      </w:r>
      <w:hyperlink r:id="r111">
        <w:r>
          <w:rPr>
            <w:rFonts w:ascii="Times New Roman" w:hAnsi="Times New Roman"/>
            <w:i/>
            <w:color w:val="000000"/>
            <w:sz w:val="20"/>
          </w:rPr>
          <w:t>Legro</w:t>
        </w:r>
        <w:r>
          <w:rPr>
            <w:rFonts w:ascii="Times New Roman" w:hAnsi="Times New Roman"/>
            <w:color w:val="000000"/>
            <w:sz w:val="20"/>
          </w:rPr>
          <w:t>, ¶ 14</w:t>
        </w:r>
      </w:hyperlink>
      <w:r>
        <w:rPr>
          <w:rFonts w:ascii="Times New Roman" w:hAnsi="Times New Roman"/>
          <w:color w:val="000000"/>
          <w:sz w:val="20"/>
        </w:rPr>
        <w:t xml:space="preserve"> (we avoid statutory constructions that would render any part of a statute meaningless).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27 We disagree with the Commission and its amici that other sections of the Act support a contrary interpretation. The Commission argues that the language of </w:t>
      </w:r>
      <w:hyperlink r:id="r112">
        <w:r>
          <w:rPr>
            <w:rFonts w:ascii="Times New Roman" w:hAnsi="Times New Roman"/>
            <w:color w:val="000000"/>
            <w:sz w:val="30"/>
          </w:rPr>
          <w:drawing>
            <wp:inline>
              <wp:extent cx="161925" cy="161925"/>
              <wp:docPr id="31" name="Picture 3"/>
              <a:graphic>
                <a:graphicData uri="http://schemas.openxmlformats.org/drawingml/2006/picture">
                  <p:pic>
                    <p:nvPicPr>
                      <p:cNvPr id="32" name="Picture 3"/>
                      <p:cNvPicPr/>
                    </p:nvPicPr>
                    <p:blipFill>
                      <a:blip r:embed="r55"/>
                      <a:srcRect/>
                      <a:stretch>
                        <a:fillRect/>
                      </a:stretch>
                    </p:blipFill>
                    <p:spPr>
                      <a:xfrm>
                        <a:off x="0" y="0"/>
                        <a:ext cx="161925" cy="161925"/>
                      </a:xfrm>
                      <a:prstGeom prst="rect"/>
                    </p:spPr>
                  </p:pic>
                </a:graphicData>
              </a:graphic>
            </wp:inline>
          </w:drawing>
        </w:r>
      </w:hyperlink>
      <w:hyperlink r:id="r113">
        <w:r>
          <w:rPr>
            <w:rFonts w:ascii="Times New Roman" w:hAnsi="Times New Roman"/>
            <w:color w:val="000000"/>
            <w:sz w:val="20"/>
          </w:rPr>
          <w:t>section 34-60-106(2)(d)</w:t>
        </w:r>
      </w:hyperlink>
      <w:r>
        <w:rPr>
          <w:rFonts w:ascii="Times New Roman" w:hAnsi="Times New Roman"/>
          <w:color w:val="000000"/>
          <w:sz w:val="20"/>
        </w:rPr>
        <w:t xml:space="preserve">—stating that the Commission has the authority to regulate “[o]il and gas operations so as to prevent and mitigate significant adverse environmental impacts ... to the extent necessary to protect public health, safety, and welfare ... taking into consideration cost-effectiveness and technical feasibility[ ]”—demonstrates that the Act calls for the balance that the Commission read into the language of </w:t>
      </w:r>
      <w:hyperlink r:id="r114">
        <w:r>
          <w:rPr>
            <w:rFonts w:ascii="Times New Roman" w:hAnsi="Times New Roman"/>
            <w:color w:val="000000"/>
            <w:sz w:val="20"/>
          </w:rPr>
          <w:t>section 34-60-102</w:t>
        </w:r>
      </w:hyperlink>
      <w:r>
        <w:rPr>
          <w:rFonts w:ascii="Times New Roman" w:hAnsi="Times New Roman"/>
          <w:color w:val="000000"/>
          <w:sz w:val="20"/>
        </w:rPr>
        <w:t xml:space="preserve">. However, </w:t>
      </w:r>
      <w:hyperlink r:id="r115">
        <w:r>
          <w:rPr>
            <w:rFonts w:ascii="Times New Roman" w:hAnsi="Times New Roman"/>
            <w:color w:val="000000"/>
            <w:sz w:val="30"/>
          </w:rPr>
          <w:drawing>
            <wp:inline>
              <wp:extent cx="161925" cy="161925"/>
              <wp:docPr id="33" name="Picture 3"/>
              <a:graphic>
                <a:graphicData uri="http://schemas.openxmlformats.org/drawingml/2006/picture">
                  <p:pic>
                    <p:nvPicPr>
                      <p:cNvPr id="34" name="Picture 3"/>
                      <p:cNvPicPr/>
                    </p:nvPicPr>
                    <p:blipFill>
                      <a:blip r:embed="r55"/>
                      <a:srcRect/>
                      <a:stretch>
                        <a:fillRect/>
                      </a:stretch>
                    </p:blipFill>
                    <p:spPr>
                      <a:xfrm>
                        <a:off x="0" y="0"/>
                        <a:ext cx="161925" cy="161925"/>
                      </a:xfrm>
                      <a:prstGeom prst="rect"/>
                    </p:spPr>
                  </p:pic>
                </a:graphicData>
              </a:graphic>
            </wp:inline>
          </w:drawing>
        </w:r>
      </w:hyperlink>
      <w:hyperlink r:id="r116">
        <w:r>
          <w:rPr>
            <w:rFonts w:ascii="Times New Roman" w:hAnsi="Times New Roman"/>
            <w:color w:val="000000"/>
            <w:sz w:val="20"/>
          </w:rPr>
          <w:t>section 34-60-106(2)(d)</w:t>
        </w:r>
      </w:hyperlink>
      <w:r>
        <w:rPr>
          <w:rFonts w:ascii="Times New Roman" w:hAnsi="Times New Roman"/>
          <w:color w:val="000000"/>
          <w:sz w:val="20"/>
        </w:rPr>
        <w:t xml:space="preserve"> supports the conclusion that the Commission has authority to promulgate rules regulating oil and gas development in the interest of protecting public health, safety, and welfare. </w:t>
      </w:r>
      <w:r>
        <w:rPr>
          <w:rFonts w:ascii="Times New Roman" w:hAnsi="Times New Roman"/>
          <w:i/>
          <w:color w:val="000000"/>
          <w:sz w:val="20"/>
        </w:rPr>
        <w:t>See</w:t>
      </w:r>
      <w:r>
        <w:rPr>
          <w:rFonts w:ascii="Times New Roman" w:hAnsi="Times New Roman"/>
          <w:color w:val="000000"/>
          <w:sz w:val="20"/>
        </w:rPr>
        <w:t xml:space="preserve"> </w:t>
      </w:r>
      <w:hyperlink r:id="r117">
        <w:r>
          <w:rPr>
            <w:rFonts w:ascii="Times New Roman" w:hAnsi="Times New Roman"/>
            <w:color w:val="000000"/>
            <w:sz w:val="30"/>
          </w:rPr>
          <w:drawing>
            <wp:inline>
              <wp:extent cx="161925" cy="161925"/>
              <wp:docPr id="35" name="Picture 3"/>
              <a:graphic>
                <a:graphicData uri="http://schemas.openxmlformats.org/drawingml/2006/picture">
                  <p:pic>
                    <p:nvPicPr>
                      <p:cNvPr id="36" name="Picture 3"/>
                      <p:cNvPicPr/>
                    </p:nvPicPr>
                    <p:blipFill>
                      <a:blip r:embed="r55"/>
                      <a:srcRect/>
                      <a:stretch>
                        <a:fillRect/>
                      </a:stretch>
                    </p:blipFill>
                    <p:spPr>
                      <a:xfrm>
                        <a:off x="0" y="0"/>
                        <a:ext cx="161925" cy="161925"/>
                      </a:xfrm>
                      <a:prstGeom prst="rect"/>
                    </p:spPr>
                  </p:pic>
                </a:graphicData>
              </a:graphic>
            </wp:inline>
          </w:drawing>
        </w:r>
      </w:hyperlink>
      <w:hyperlink r:id="r118">
        <w:r>
          <w:rPr>
            <w:rFonts w:ascii="Times New Roman" w:hAnsi="Times New Roman"/>
            <w:color w:val="000000"/>
            <w:sz w:val="20"/>
          </w:rPr>
          <w:t>§ 34-60-106(2)(d)</w:t>
        </w:r>
      </w:hyperlink>
      <w:r>
        <w:rPr>
          <w:rFonts w:ascii="Times New Roman" w:hAnsi="Times New Roman"/>
          <w:color w:val="000000"/>
          <w:sz w:val="20"/>
        </w:rPr>
        <w:t xml:space="preserve">. The General Assembly's use of the phrase “to the extent necessary to protect public health, safety, and welfare,” when describing the purpose of regulation, evidences a similar intent to elevate the importance of public health, safety, and welfare above a mere balancing—the same as what the General Assembly wrote into </w:t>
      </w:r>
      <w:hyperlink r:id="r119">
        <w:r>
          <w:rPr>
            <w:rFonts w:ascii="Times New Roman" w:hAnsi="Times New Roman"/>
            <w:color w:val="000000"/>
            <w:sz w:val="20"/>
          </w:rPr>
          <w:t>section 34-60-102</w:t>
        </w:r>
      </w:hyperlink>
      <w:r>
        <w:rPr>
          <w:rFonts w:ascii="Times New Roman" w:hAnsi="Times New Roman"/>
          <w:color w:val="000000"/>
          <w:sz w:val="20"/>
        </w:rPr>
        <w:t>.</w:t>
      </w:r>
      <w:bookmarkStart w:id="47" w:name="co_fnRef_B00062041293414_ID0EPZAG_1"/>
      <w:hyperlink w:anchor="co_footnote_B00062041293414_1">
        <w:r>
          <w:rPr>
            <w:rFonts w:ascii="Times New Roman" w:hAnsi="Times New Roman"/>
            <w:color w:val="000000"/>
            <w:sz w:val="16"/>
            <w:vertAlign w:val="superscript"/>
          </w:rPr>
          <w:t>6</w:t>
        </w:r>
      </w:hyperlink>
      <w:bookmarkEnd w:id="47"/>
      <w:r>
        <w:rPr>
          <w:rFonts w:ascii="Times New Roman" w:hAnsi="Times New Roman"/>
          <w:color w:val="000000"/>
          <w:sz w:val="20"/>
        </w:rPr>
        <w:t xml:space="preserve"> </w:t>
      </w:r>
      <w:hyperlink r:id="r120">
        <w:r>
          <w:rPr>
            <w:rFonts w:ascii="Times New Roman" w:hAnsi="Times New Roman"/>
            <w:color w:val="000000"/>
            <w:sz w:val="30"/>
          </w:rPr>
          <w:drawing>
            <wp:inline>
              <wp:extent cx="161925" cy="161925"/>
              <wp:docPr id="37" name="Picture 3"/>
              <a:graphic>
                <a:graphicData uri="http://schemas.openxmlformats.org/drawingml/2006/picture">
                  <p:pic>
                    <p:nvPicPr>
                      <p:cNvPr id="38" name="Picture 3"/>
                      <p:cNvPicPr/>
                    </p:nvPicPr>
                    <p:blipFill>
                      <a:blip r:embed="r55"/>
                      <a:srcRect/>
                      <a:stretch>
                        <a:fillRect/>
                      </a:stretch>
                    </p:blipFill>
                    <p:spPr>
                      <a:xfrm>
                        <a:off x="0" y="0"/>
                        <a:ext cx="161925" cy="161925"/>
                      </a:xfrm>
                      <a:prstGeom prst="rect"/>
                    </p:spPr>
                  </p:pic>
                </a:graphicData>
              </a:graphic>
            </wp:inline>
          </w:drawing>
        </w:r>
      </w:hyperlink>
      <w:hyperlink r:id="r121">
        <w:r>
          <w:rPr>
            <w:rFonts w:ascii="Times New Roman" w:hAnsi="Times New Roman"/>
            <w:color w:val="000000"/>
            <w:sz w:val="20"/>
          </w:rPr>
          <w:t>Section 34-60-106(2)(d)</w:t>
        </w:r>
      </w:hyperlink>
      <w:r>
        <w:rPr>
          <w:rFonts w:ascii="Times New Roman" w:hAnsi="Times New Roman"/>
          <w:color w:val="000000"/>
          <w:sz w:val="20"/>
        </w:rPr>
        <w:t xml:space="preserve"> in no way conflicts with our interpretation of </w:t>
      </w:r>
      <w:hyperlink r:id="r122">
        <w:r>
          <w:rPr>
            <w:rFonts w:ascii="Times New Roman" w:hAnsi="Times New Roman"/>
            <w:color w:val="000000"/>
            <w:sz w:val="20"/>
          </w:rPr>
          <w:t>section 34-60-102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28 Our conclusion is further supported by the evolution of the General Assembly's regulation of the oil and gas industry in </w:t>
      </w:r>
      <w:bookmarkStart w:id="48" w:name="co_pp_sp_4645_695_1"/>
      <w:r>
        <w:rPr>
          <w:rFonts w:ascii="Times New Roman" w:hAnsi="Times New Roman"/>
          <w:b/>
          <w:color w:val="000000"/>
          <w:sz w:val="20"/>
        </w:rPr>
        <w:t>*695</w:t>
      </w:r>
      <w:bookmarkEnd w:id="48"/>
      <w:r>
        <w:rPr>
          <w:rFonts w:ascii="Times New Roman" w:hAnsi="Times New Roman"/>
          <w:color w:val="000000"/>
          <w:sz w:val="20"/>
        </w:rPr>
        <w:t xml:space="preserve"> Colorado and its numerous alterations to the language of the Act. Originally, the Act contained no qualifying language regarding responsible, balanced development, or the protection of public health and the environment. </w:t>
      </w:r>
      <w:r>
        <w:rPr>
          <w:rFonts w:ascii="Times New Roman" w:hAnsi="Times New Roman"/>
          <w:i/>
          <w:color w:val="000000"/>
          <w:sz w:val="20"/>
        </w:rPr>
        <w:t>See</w:t>
      </w:r>
      <w:r>
        <w:rPr>
          <w:rFonts w:ascii="Times New Roman" w:hAnsi="Times New Roman"/>
          <w:color w:val="000000"/>
          <w:sz w:val="20"/>
        </w:rPr>
        <w:t xml:space="preserve"> Ch. 208, sec. 10, § 100-6-22, 1955 Colo. Sess. Laws 657. For decades, the Act read: “It is hereby declared to be in the public interest to foster, encourage and promote the development, production and utilization of the natural resources of oil and gas in the state of Colorado[.]”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29 In 1994 the General Assembly added the language “in a manner consistent with protection of public health, safety, and welfare[.]” Ch. 317, sec. 2, § 34-60-102, 1994 Colo. Sess. Laws 1978. Then, in 2007, the General Assembly completed the Act as it reads today by amending and adding language so that the statute read: “It is declared to be in the public interest to foster ... responsible, balanced [resource] development[.]” Ch. 320, sec. 1, § 34-60-102, 2007 Colo. Sess. Laws 1357.</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30 These amendments reflect the General Assembly's general movement away from unfettered oil and gas production and incorporation of public health, safety, and welfare as a check on that development. This understanding supports our conclusion that the Act was not intended to require that a balancing test be applied when agencies charged with carrying out and enforcing the intent behind the Act, like the Commission, make decisions on regulation, including a decision denying a petition for a proposed rule. Rather, the clear language of the Act—supported by the Act's legislative evolution and the Commission's own enforcement criteria—mandates that the development of oil and gas in Colorado be regulated subject to the protection of public health, safety, and welfare, including protection of the environment and wildlife resources. </w:t>
      </w:r>
      <w:r>
        <w:rPr>
          <w:rFonts w:ascii="Times New Roman" w:hAnsi="Times New Roman"/>
          <w:i/>
          <w:color w:val="000000"/>
          <w:sz w:val="20"/>
        </w:rPr>
        <w:t>See</w:t>
      </w:r>
      <w:r>
        <w:rPr>
          <w:rFonts w:ascii="Times New Roman" w:hAnsi="Times New Roman"/>
          <w:color w:val="000000"/>
          <w:sz w:val="20"/>
        </w:rPr>
        <w:t xml:space="preserve"> Oil &amp; Gas Conservation Comm'n, Colorado Oil and Gas Conservation Commission Enforcement Guidance and Penalty Policy 1 (Jan. 2015), https://perma.cc/39RU-99MF (“In Colorado ... the development of ... natural resources must be consistent with protection of public health, safety, and welfare, including the environment and wildlife resources, at all times[.]”); </w:t>
      </w:r>
      <w:r>
        <w:rPr>
          <w:rFonts w:ascii="Times New Roman" w:hAnsi="Times New Roman"/>
          <w:i/>
          <w:color w:val="000000"/>
          <w:sz w:val="20"/>
        </w:rPr>
        <w:t>see also</w:t>
      </w:r>
      <w:r>
        <w:rPr>
          <w:rFonts w:ascii="Times New Roman" w:hAnsi="Times New Roman"/>
          <w:color w:val="000000"/>
          <w:sz w:val="20"/>
        </w:rPr>
        <w:t xml:space="preserve"> </w:t>
      </w:r>
      <w:hyperlink r:id="r123">
        <w:r>
          <w:rPr>
            <w:rFonts w:ascii="Times New Roman" w:hAnsi="Times New Roman"/>
            <w:color w:val="000000"/>
            <w:sz w:val="30"/>
          </w:rPr>
          <w:drawing>
            <wp:inline>
              <wp:extent cx="161925" cy="161925"/>
              <wp:docPr id="39" name="Picture 3"/>
              <a:graphic>
                <a:graphicData uri="http://schemas.openxmlformats.org/drawingml/2006/picture">
                  <p:pic>
                    <p:nvPicPr>
                      <p:cNvPr id="40" name="Picture 3"/>
                      <p:cNvPicPr/>
                    </p:nvPicPr>
                    <p:blipFill>
                      <a:blip r:embed="r55"/>
                      <a:srcRect/>
                      <a:stretch>
                        <a:fillRect/>
                      </a:stretch>
                    </p:blipFill>
                    <p:spPr>
                      <a:xfrm>
                        <a:off x="0" y="0"/>
                        <a:ext cx="161925" cy="161925"/>
                      </a:xfrm>
                      <a:prstGeom prst="rect"/>
                    </p:spPr>
                  </p:pic>
                </a:graphicData>
              </a:graphic>
            </wp:inline>
          </w:drawing>
        </w:r>
      </w:hyperlink>
      <w:hyperlink r:id="r124">
        <w:r>
          <w:rPr>
            <w:rFonts w:ascii="Times New Roman" w:hAnsi="Times New Roman"/>
            <w:color w:val="000000"/>
            <w:sz w:val="20"/>
          </w:rPr>
          <w:t>§ 34-60-106(2)(d)</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31 Because we conclude that the district court and the Commission erroneously interpreted the Act, we reverse. </w:t>
      </w:r>
      <w:hyperlink r:id="r125">
        <w:r>
          <w:rPr>
            <w:rFonts w:ascii="Times New Roman" w:hAnsi="Times New Roman"/>
            <w:color w:val="000000"/>
            <w:sz w:val="30"/>
          </w:rPr>
          <w:drawing>
            <wp:inline>
              <wp:extent cx="161925" cy="161925"/>
              <wp:docPr id="41" name="Picture 3"/>
              <a:graphic>
                <a:graphicData uri="http://schemas.openxmlformats.org/drawingml/2006/picture">
                  <p:pic>
                    <p:nvPicPr>
                      <p:cNvPr id="42" name="Picture 3"/>
                      <p:cNvPicPr/>
                    </p:nvPicPr>
                    <p:blipFill>
                      <a:blip r:embed="r55"/>
                      <a:srcRect/>
                      <a:stretch>
                        <a:fillRect/>
                      </a:stretch>
                    </p:blipFill>
                    <p:spPr>
                      <a:xfrm>
                        <a:off x="0" y="0"/>
                        <a:ext cx="161925" cy="161925"/>
                      </a:xfrm>
                      <a:prstGeom prst="rect"/>
                    </p:spPr>
                  </p:pic>
                </a:graphicData>
              </a:graphic>
            </wp:inline>
          </w:drawing>
        </w:r>
      </w:hyperlink>
      <w:hyperlink r:id="r126">
        <w:r>
          <w:rPr>
            <w:rFonts w:ascii="Times New Roman" w:hAnsi="Times New Roman"/>
            <w:i/>
            <w:color w:val="000000"/>
            <w:sz w:val="20"/>
          </w:rPr>
          <w:t>Nixon v. City &amp; Cty. of Denver</w:t>
        </w:r>
        <w:r>
          <w:rPr>
            <w:rFonts w:ascii="Times New Roman" w:hAnsi="Times New Roman"/>
            <w:color w:val="000000"/>
            <w:sz w:val="20"/>
          </w:rPr>
          <w:t>, 2014 COA 172, ¶ 12, 343 P.3d 1051</w:t>
        </w:r>
      </w:hyperlink>
      <w:r>
        <w:rPr>
          <w:rFonts w:ascii="Times New Roman" w:hAnsi="Times New Roman"/>
          <w:color w:val="000000"/>
          <w:sz w:val="20"/>
        </w:rPr>
        <w:t xml:space="preserve"> (an agency abuses its discretion when it erroneously interprets the law). The record indicates that the Commission based its denial of the petition for rulemaking primarily on its determination that it lacked authority to implement Petitioners' proposed rule. The administrative record does not contain sufficient findings of fact for us to affirm the Commission's decision on alternative grounds—such as the Commission's statement that “there are other Commission priorities that must take precedence over the proposed rulemaking at this time,”</w:t>
      </w:r>
      <w:r>
        <w:rPr>
          <w:rFonts w:ascii="Times New Roman" w:hAnsi="Times New Roman"/>
          <w:color w:val="000000"/>
          <w:sz w:val="20"/>
        </w:rPr>
        <w:t xml:space="preserve"> or the Commission's reference to the proposed rule's impermissible delegation of Commission duties to a third party (an issue not addressed by the district court or briefed on appeal to this court). </w:t>
      </w:r>
      <w:r>
        <w:rPr>
          <w:rFonts w:ascii="Times New Roman" w:hAnsi="Times New Roman"/>
          <w:i/>
          <w:color w:val="000000"/>
          <w:sz w:val="20"/>
        </w:rPr>
        <w:t xml:space="preserve">See </w:t>
      </w:r>
      <w:hyperlink r:id="r127">
        <w:r>
          <w:rPr>
            <w:rFonts w:ascii="Times New Roman" w:hAnsi="Times New Roman"/>
            <w:i/>
            <w:color w:val="000000"/>
            <w:sz w:val="20"/>
          </w:rPr>
          <w:t>Chase</w:t>
        </w:r>
        <w:r>
          <w:rPr>
            <w:rFonts w:ascii="Times New Roman" w:hAnsi="Times New Roman"/>
            <w:color w:val="000000"/>
            <w:sz w:val="20"/>
          </w:rPr>
          <w:t>, ¶ 59</w:t>
        </w:r>
      </w:hyperlink>
      <w:r>
        <w:rPr>
          <w:rFonts w:ascii="Times New Roman" w:hAnsi="Times New Roman"/>
          <w:color w:val="000000"/>
          <w:sz w:val="20"/>
        </w:rPr>
        <w:t xml:space="preserve"> (remand proper when record contains insufficient basis for agency conclusions).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32 Our decision does not address the merits of whether the Commission should adopt Petitioners' proposed rule. Our review is limited to the Commission's rejection of Petitioners' proposed rule based on the Commission's determination that such action would exceed its statutory authority under the Act—which is legally incorrect. </w:t>
      </w:r>
      <w:r>
        <w:rPr>
          <w:rFonts w:ascii="Times New Roman" w:hAnsi="Times New Roman"/>
          <w:i/>
          <w:color w:val="000000"/>
          <w:sz w:val="20"/>
        </w:rPr>
        <w:t>See, e.g.</w:t>
      </w:r>
      <w:r>
        <w:rPr>
          <w:rFonts w:ascii="Times New Roman" w:hAnsi="Times New Roman"/>
          <w:color w:val="000000"/>
          <w:sz w:val="20"/>
        </w:rPr>
        <w:t xml:space="preserve">, </w:t>
      </w:r>
      <w:hyperlink r:id="r128">
        <w:r>
          <w:rPr>
            <w:rFonts w:ascii="Times New Roman" w:hAnsi="Times New Roman"/>
            <w:color w:val="000000"/>
            <w:sz w:val="30"/>
          </w:rPr>
          <w:drawing>
            <wp:inline>
              <wp:extent cx="161925" cy="161925"/>
              <wp:docPr id="43" name="Picture 3"/>
              <a:graphic>
                <a:graphicData uri="http://schemas.openxmlformats.org/drawingml/2006/picture">
                  <p:pic>
                    <p:nvPicPr>
                      <p:cNvPr id="44" name="Picture 3"/>
                      <p:cNvPicPr/>
                    </p:nvPicPr>
                    <p:blipFill>
                      <a:blip r:embed="r55"/>
                      <a:srcRect/>
                      <a:stretch>
                        <a:fillRect/>
                      </a:stretch>
                    </p:blipFill>
                    <p:spPr>
                      <a:xfrm>
                        <a:off x="0" y="0"/>
                        <a:ext cx="161925" cy="161925"/>
                      </a:xfrm>
                      <a:prstGeom prst="rect"/>
                    </p:spPr>
                  </p:pic>
                </a:graphicData>
              </a:graphic>
            </wp:inline>
          </w:drawing>
        </w:r>
      </w:hyperlink>
      <w:hyperlink r:id="r129">
        <w:r>
          <w:rPr>
            <w:rFonts w:ascii="Times New Roman" w:hAnsi="Times New Roman"/>
            <w:i/>
            <w:color w:val="000000"/>
            <w:sz w:val="20"/>
          </w:rPr>
          <w:t>United States v. Allegheny-Ludlum Steel Corp.</w:t>
        </w:r>
        <w:r>
          <w:rPr>
            <w:rFonts w:ascii="Times New Roman" w:hAnsi="Times New Roman"/>
            <w:color w:val="000000"/>
            <w:sz w:val="20"/>
          </w:rPr>
          <w:t>, 406 U.S. 742, 749, 92 S.Ct. 1941, 32 L.Ed.2d 453 (1972)</w:t>
        </w:r>
      </w:hyperlink>
      <w:r>
        <w:rPr>
          <w:rFonts w:ascii="Times New Roman" w:hAnsi="Times New Roman"/>
          <w:color w:val="000000"/>
          <w:sz w:val="20"/>
        </w:rPr>
        <w:t xml:space="preserve"> (Courts do not “inquire into the wisdom of the regulations” that a commission promulgates but, instead, inquire into “the soundness of the reasoning by which [a] [c]ommission reaches its conclusions.”).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33 The Commission argues that under </w:t>
      </w:r>
      <w:hyperlink r:id="r130">
        <w:r>
          <w:rPr>
            <w:rFonts w:ascii="Times New Roman" w:hAnsi="Times New Roman"/>
            <w:color w:val="000000"/>
            <w:sz w:val="30"/>
          </w:rPr>
          <w:drawing>
            <wp:inline>
              <wp:extent cx="161925" cy="161925"/>
              <wp:docPr id="45" name="Picture 3"/>
              <a:graphic>
                <a:graphicData uri="http://schemas.openxmlformats.org/drawingml/2006/picture">
                  <p:pic>
                    <p:nvPicPr>
                      <p:cNvPr id="46" name="Picture 3"/>
                      <p:cNvPicPr/>
                    </p:nvPicPr>
                    <p:blipFill>
                      <a:blip r:embed="r55"/>
                      <a:srcRect/>
                      <a:stretch>
                        <a:fillRect/>
                      </a:stretch>
                    </p:blipFill>
                    <p:spPr>
                      <a:xfrm>
                        <a:off x="0" y="0"/>
                        <a:ext cx="161925" cy="161925"/>
                      </a:xfrm>
                      <a:prstGeom prst="rect"/>
                    </p:spPr>
                  </p:pic>
                </a:graphicData>
              </a:graphic>
            </wp:inline>
          </w:drawing>
        </w:r>
      </w:hyperlink>
      <w:hyperlink r:id="r131">
        <w:r>
          <w:rPr>
            <w:rFonts w:ascii="Times New Roman" w:hAnsi="Times New Roman"/>
            <w:i/>
            <w:color w:val="000000"/>
            <w:sz w:val="20"/>
          </w:rPr>
          <w:t>Massachusetts v. Environmental Protection Agency</w:t>
        </w:r>
        <w:r>
          <w:rPr>
            <w:rFonts w:ascii="Times New Roman" w:hAnsi="Times New Roman"/>
            <w:color w:val="000000"/>
            <w:sz w:val="20"/>
          </w:rPr>
          <w:t>, 549 U.S. 497, 527-28, 127 S.Ct. 1438, 167 L.Ed.2d 248 (2007)</w:t>
        </w:r>
      </w:hyperlink>
      <w:r>
        <w:rPr>
          <w:rFonts w:ascii="Times New Roman" w:hAnsi="Times New Roman"/>
          <w:color w:val="000000"/>
          <w:sz w:val="20"/>
        </w:rPr>
        <w:t xml:space="preserve">, judicial review of denials of rulemaking petitions is limited and deferential. True, but a denial of a rulemaking petition remains properly the subject of judicial review. </w:t>
      </w:r>
      <w:r>
        <w:rPr>
          <w:rFonts w:ascii="Times New Roman" w:hAnsi="Times New Roman"/>
          <w:i/>
          <w:color w:val="000000"/>
          <w:sz w:val="20"/>
        </w:rPr>
        <w:t xml:space="preserve">See </w:t>
      </w:r>
      <w:hyperlink r:id="r132">
        <w:r>
          <w:rPr>
            <w:rFonts w:ascii="Times New Roman" w:hAnsi="Times New Roman"/>
            <w:i/>
            <w:color w:val="000000"/>
            <w:sz w:val="30"/>
          </w:rPr>
          <w:drawing>
            <wp:inline>
              <wp:extent cx="161925" cy="161925"/>
              <wp:docPr id="47" name="Picture 3"/>
              <a:graphic>
                <a:graphicData uri="http://schemas.openxmlformats.org/drawingml/2006/picture">
                  <p:pic>
                    <p:nvPicPr>
                      <p:cNvPr id="48" name="Picture 3"/>
                      <p:cNvPicPr/>
                    </p:nvPicPr>
                    <p:blipFill>
                      <a:blip r:embed="r55"/>
                      <a:srcRect/>
                      <a:stretch>
                        <a:fillRect/>
                      </a:stretch>
                    </p:blipFill>
                    <p:spPr>
                      <a:xfrm>
                        <a:off x="0" y="0"/>
                        <a:ext cx="161925" cy="161925"/>
                      </a:xfrm>
                      <a:prstGeom prst="rect"/>
                    </p:spPr>
                  </p:pic>
                </a:graphicData>
              </a:graphic>
            </wp:inline>
          </w:drawing>
        </w:r>
      </w:hyperlink>
      <w:hyperlink r:id="r133">
        <w:r>
          <w:rPr>
            <w:rFonts w:ascii="Times New Roman" w:hAnsi="Times New Roman"/>
            <w:i/>
            <w:color w:val="000000"/>
            <w:sz w:val="20"/>
          </w:rPr>
          <w:t>id.</w:t>
        </w:r>
      </w:hyperlink>
      <w:r>
        <w:rPr>
          <w:rFonts w:ascii="Times New Roman" w:hAnsi="Times New Roman"/>
          <w:color w:val="000000"/>
          <w:sz w:val="20"/>
        </w:rPr>
        <w:t xml:space="preserve">; </w:t>
      </w:r>
      <w:hyperlink r:id="r134">
        <w:r>
          <w:rPr>
            <w:rFonts w:ascii="Times New Roman" w:hAnsi="Times New Roman"/>
            <w:color w:val="000000"/>
            <w:sz w:val="30"/>
          </w:rPr>
          <w:drawing>
            <wp:inline>
              <wp:extent cx="161925" cy="161925"/>
              <wp:docPr id="49" name="Picture 3"/>
              <a:graphic>
                <a:graphicData uri="http://schemas.openxmlformats.org/drawingml/2006/picture">
                  <p:pic>
                    <p:nvPicPr>
                      <p:cNvPr id="50" name="Picture 3"/>
                      <p:cNvPicPr/>
                    </p:nvPicPr>
                    <p:blipFill>
                      <a:blip r:embed="r55"/>
                      <a:srcRect/>
                      <a:stretch>
                        <a:fillRect/>
                      </a:stretch>
                    </p:blipFill>
                    <p:spPr>
                      <a:xfrm>
                        <a:off x="0" y="0"/>
                        <a:ext cx="161925" cy="161925"/>
                      </a:xfrm>
                      <a:prstGeom prst="rect"/>
                    </p:spPr>
                  </p:pic>
                </a:graphicData>
              </a:graphic>
            </wp:inline>
          </w:drawing>
        </w:r>
      </w:hyperlink>
      <w:hyperlink r:id="r135">
        <w:r>
          <w:rPr>
            <w:rFonts w:ascii="Times New Roman" w:hAnsi="Times New Roman"/>
            <w:i/>
            <w:color w:val="000000"/>
            <w:sz w:val="20"/>
          </w:rPr>
          <w:t>Am. Horse Prot. Ass'n, Inc. v. Lyng</w:t>
        </w:r>
        <w:r>
          <w:rPr>
            <w:rFonts w:ascii="Times New Roman" w:hAnsi="Times New Roman"/>
            <w:color w:val="000000"/>
            <w:sz w:val="20"/>
          </w:rPr>
          <w:t>, 812 F.2d 1, 4 (D.C. Cir. 1987)</w:t>
        </w:r>
      </w:hyperlink>
      <w:r>
        <w:rPr>
          <w:rFonts w:ascii="Times New Roman" w:hAnsi="Times New Roman"/>
          <w:color w:val="000000"/>
          <w:sz w:val="20"/>
        </w:rPr>
        <w:t xml:space="preserve"> (agency refusals to institute </w:t>
      </w:r>
      <w:bookmarkStart w:id="49" w:name="co_pp_sp_4645_696_1"/>
      <w:r>
        <w:rPr>
          <w:rFonts w:ascii="Times New Roman" w:hAnsi="Times New Roman"/>
          <w:b/>
          <w:color w:val="000000"/>
          <w:sz w:val="20"/>
        </w:rPr>
        <w:t>*696</w:t>
      </w:r>
      <w:bookmarkEnd w:id="49"/>
      <w:r>
        <w:rPr>
          <w:rFonts w:ascii="Times New Roman" w:hAnsi="Times New Roman"/>
          <w:color w:val="000000"/>
          <w:sz w:val="20"/>
        </w:rPr>
        <w:t xml:space="preserve"> rulemaking proceedings are subject to judicial review). Unlike in </w:t>
      </w:r>
      <w:hyperlink r:id="r136">
        <w:r>
          <w:rPr>
            <w:rFonts w:ascii="Times New Roman" w:hAnsi="Times New Roman"/>
            <w:color w:val="000000"/>
            <w:sz w:val="30"/>
          </w:rPr>
          <w:drawing>
            <wp:inline>
              <wp:extent cx="161925" cy="161925"/>
              <wp:docPr id="51" name="Picture 3"/>
              <a:graphic>
                <a:graphicData uri="http://schemas.openxmlformats.org/drawingml/2006/picture">
                  <p:pic>
                    <p:nvPicPr>
                      <p:cNvPr id="52" name="Picture 3"/>
                      <p:cNvPicPr/>
                    </p:nvPicPr>
                    <p:blipFill>
                      <a:blip r:embed="r55"/>
                      <a:srcRect/>
                      <a:stretch>
                        <a:fillRect/>
                      </a:stretch>
                    </p:blipFill>
                    <p:spPr>
                      <a:xfrm>
                        <a:off x="0" y="0"/>
                        <a:ext cx="161925" cy="161925"/>
                      </a:xfrm>
                      <a:prstGeom prst="rect"/>
                    </p:spPr>
                  </p:pic>
                </a:graphicData>
              </a:graphic>
            </wp:inline>
          </w:drawing>
        </w:r>
      </w:hyperlink>
      <w:hyperlink r:id="r137">
        <w:r>
          <w:rPr>
            <w:rFonts w:ascii="Times New Roman" w:hAnsi="Times New Roman"/>
            <w:i/>
            <w:color w:val="000000"/>
            <w:sz w:val="20"/>
          </w:rPr>
          <w:t>Massachusetts v. Environmental Protection Agency</w:t>
        </w:r>
      </w:hyperlink>
      <w:r>
        <w:rPr>
          <w:rFonts w:ascii="Times New Roman" w:hAnsi="Times New Roman"/>
          <w:color w:val="000000"/>
          <w:sz w:val="20"/>
        </w:rPr>
        <w:t xml:space="preserve">, where the Supreme Court concluded, on the merits, that the Environmental Protection Agency's refusal to promulgate a proposed rule was an abuse of discretion, </w:t>
      </w:r>
      <w:hyperlink r:id="r138">
        <w:r>
          <w:rPr>
            <w:rFonts w:ascii="Times New Roman" w:hAnsi="Times New Roman"/>
            <w:color w:val="000000"/>
            <w:sz w:val="30"/>
          </w:rPr>
          <w:drawing>
            <wp:inline>
              <wp:extent cx="161925" cy="161925"/>
              <wp:docPr id="53" name="Picture 3"/>
              <a:graphic>
                <a:graphicData uri="http://schemas.openxmlformats.org/drawingml/2006/picture">
                  <p:pic>
                    <p:nvPicPr>
                      <p:cNvPr id="54" name="Picture 3"/>
                      <p:cNvPicPr/>
                    </p:nvPicPr>
                    <p:blipFill>
                      <a:blip r:embed="r55"/>
                      <a:srcRect/>
                      <a:stretch>
                        <a:fillRect/>
                      </a:stretch>
                    </p:blipFill>
                    <p:spPr>
                      <a:xfrm>
                        <a:off x="0" y="0"/>
                        <a:ext cx="161925" cy="161925"/>
                      </a:xfrm>
                      <a:prstGeom prst="rect"/>
                    </p:spPr>
                  </p:pic>
                </a:graphicData>
              </a:graphic>
            </wp:inline>
          </w:drawing>
        </w:r>
      </w:hyperlink>
      <w:hyperlink r:id="r139">
        <w:r>
          <w:rPr>
            <w:rFonts w:ascii="Times New Roman" w:hAnsi="Times New Roman"/>
            <w:color w:val="000000"/>
            <w:sz w:val="20"/>
          </w:rPr>
          <w:t>549 U.S. at 528, 534, 127 S.Ct. 1438</w:t>
        </w:r>
      </w:hyperlink>
      <w:r>
        <w:rPr>
          <w:rFonts w:ascii="Times New Roman" w:hAnsi="Times New Roman"/>
          <w:color w:val="000000"/>
          <w:sz w:val="20"/>
        </w:rPr>
        <w:t xml:space="preserve">, our decision does not reach the merits of whether the Commission abused its discretion in refusing to promulgate Petitioners' proposed rule. Instead, our decision only addresses the Commission's interpretation of its authority under the Act as a part of its denial of the petition for rulemaking, which we conclude is incorrect. </w:t>
      </w:r>
      <w:r>
        <w:rPr>
          <w:rFonts w:ascii="Times New Roman" w:hAnsi="Times New Roman"/>
          <w:i/>
          <w:color w:val="000000"/>
          <w:sz w:val="20"/>
        </w:rPr>
        <w:t xml:space="preserve">See </w:t>
      </w:r>
      <w:hyperlink r:id="r140">
        <w:r>
          <w:rPr>
            <w:rFonts w:ascii="Times New Roman" w:hAnsi="Times New Roman"/>
            <w:color w:val="000000"/>
            <w:sz w:val="30"/>
          </w:rPr>
          <w:drawing>
            <wp:inline>
              <wp:extent cx="161925" cy="161925"/>
              <wp:docPr id="55" name="Picture 3"/>
              <a:graphic>
                <a:graphicData uri="http://schemas.openxmlformats.org/drawingml/2006/picture">
                  <p:pic>
                    <p:nvPicPr>
                      <p:cNvPr id="56" name="Picture 3"/>
                      <p:cNvPicPr/>
                    </p:nvPicPr>
                    <p:blipFill>
                      <a:blip r:embed="r55"/>
                      <a:srcRect/>
                      <a:stretch>
                        <a:fillRect/>
                      </a:stretch>
                    </p:blipFill>
                    <p:spPr>
                      <a:xfrm>
                        <a:off x="0" y="0"/>
                        <a:ext cx="161925" cy="161925"/>
                      </a:xfrm>
                      <a:prstGeom prst="rect"/>
                    </p:spPr>
                  </p:pic>
                </a:graphicData>
              </a:graphic>
            </wp:inline>
          </w:drawing>
        </w:r>
      </w:hyperlink>
      <w:hyperlink r:id="r141">
        <w:r>
          <w:rPr>
            <w:rFonts w:ascii="Times New Roman" w:hAnsi="Times New Roman"/>
            <w:i/>
            <w:color w:val="000000"/>
            <w:sz w:val="20"/>
          </w:rPr>
          <w:t>Allegheny-Ludlum</w:t>
        </w:r>
        <w:r>
          <w:rPr>
            <w:rFonts w:ascii="Times New Roman" w:hAnsi="Times New Roman"/>
            <w:color w:val="000000"/>
            <w:sz w:val="20"/>
          </w:rPr>
          <w:t>, 406 U.S. at 749, 92 S.Ct. 1941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50" w:name="co_anchor_I7f3c2711cdfd11ea9f81bd68db15"/>
    <w:p>
      <w:pPr>
        <w:spacing w:before="400" w:after="0" w:line="275" w:lineRule="atLeast"/>
        <w:jc w:val="center"/>
      </w:pPr>
      <w:r>
        <w:rPr>
          <w:rFonts w:ascii="Times New Roman" w:hAnsi="Times New Roman"/>
          <w:color w:val="000000"/>
          <w:sz w:val="20"/>
        </w:rPr>
        <w:t>III. Constitutional Contentions</w:t>
      </w:r>
    </w:p>
    <w:bookmarkEnd w:id="50"/>
    <w:p>
      <w:pPr>
        <w:spacing w:before="200" w:after="0" w:line="275" w:lineRule="atLeast"/>
        <w:jc w:val="both"/>
      </w:pPr>
      <w:r>
        <w:rPr>
          <w:rFonts w:ascii="Times New Roman" w:hAnsi="Times New Roman"/>
          <w:color w:val="000000"/>
          <w:sz w:val="20"/>
        </w:rPr>
        <w:t xml:space="preserve">¶ 34 Petitioners contend that the Commission's interpretation of the Act is an unconstitutional infringement of Petitioners' natural rights to enjoy their lives and liberties, protect their property, and obtain their safety and happiness. </w:t>
      </w:r>
      <w:hyperlink r:id="r142">
        <w:r>
          <w:rPr>
            <w:rFonts w:ascii="Times New Roman" w:hAnsi="Times New Roman"/>
            <w:color w:val="000000"/>
            <w:sz w:val="20"/>
          </w:rPr>
          <w:t>Colo. Const. art. II, § 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35 Because we conclude that the Commission erred in its interpretation of the Act and reverse, we need not address Petitioners' constitutional arguments. </w:t>
      </w:r>
      <w:r>
        <w:rPr>
          <w:rFonts w:ascii="Times New Roman" w:hAnsi="Times New Roman"/>
          <w:i/>
          <w:color w:val="000000"/>
          <w:sz w:val="20"/>
        </w:rPr>
        <w:t xml:space="preserve">See </w:t>
      </w:r>
      <w:hyperlink r:id="r143">
        <w:r>
          <w:rPr>
            <w:rFonts w:ascii="Times New Roman" w:hAnsi="Times New Roman"/>
            <w:i/>
            <w:color w:val="000000"/>
            <w:sz w:val="20"/>
          </w:rPr>
          <w:t>City of Florence v. Pepper</w:t>
        </w:r>
        <w:r>
          <w:rPr>
            <w:rFonts w:ascii="Times New Roman" w:hAnsi="Times New Roman"/>
            <w:color w:val="000000"/>
            <w:sz w:val="20"/>
          </w:rPr>
          <w:t>, 145 P.3d 654, 660 (Colo. 2006)</w:t>
        </w:r>
      </w:hyperlink>
      <w:r>
        <w:rPr>
          <w:rFonts w:ascii="Times New Roman" w:hAnsi="Times New Roman"/>
          <w:color w:val="000000"/>
          <w:sz w:val="20"/>
        </w:rPr>
        <w:t xml:space="preserve"> (“Where possible, we avoid a constitutional analysis in favor of a statutory resolution.”); </w:t>
      </w:r>
      <w:hyperlink r:id="r144">
        <w:r>
          <w:rPr>
            <w:rFonts w:ascii="Times New Roman" w:hAnsi="Times New Roman"/>
            <w:i/>
            <w:color w:val="000000"/>
            <w:sz w:val="20"/>
          </w:rPr>
          <w:t>Club Matrix, LLC v. Nassi</w:t>
        </w:r>
        <w:r>
          <w:rPr>
            <w:rFonts w:ascii="Times New Roman" w:hAnsi="Times New Roman"/>
            <w:color w:val="000000"/>
            <w:sz w:val="20"/>
          </w:rPr>
          <w:t>, 284 P.3d 93, 99 (Colo. App. 2011)</w:t>
        </w:r>
      </w:hyperlink>
      <w:r>
        <w:rPr>
          <w:rFonts w:ascii="Times New Roman" w:hAnsi="Times New Roman"/>
          <w:color w:val="000000"/>
          <w:sz w:val="20"/>
        </w:rPr>
        <w:t xml:space="preserve"> (we need not address additional arguments rendered moot by our ultimate disposition).</w:t>
      </w:r>
    </w:p>
    <w:p>
      <w:pPr>
        <w:spacing w:before="0" w:after="0" w:line="275" w:lineRule="atLeast"/>
        <w:jc w:val="both"/>
      </w:pPr>
      <w:r>
        <w:rPr>
          <w:rFonts w:ascii="Times New Roman" w:hAnsi="Times New Roman"/>
          <w:color w:val="000000"/>
          <w:sz w:val="20"/>
        </w:rPr>
        <w:t> </w:t>
      </w:r>
    </w:p>
    <w:bookmarkStart w:id="51" w:name="co_anchor_I7f3e22e1cdfd11ea9f81bd68db15"/>
    <w:p>
      <w:pPr>
        <w:spacing w:before="400" w:after="0" w:line="275" w:lineRule="atLeast"/>
        <w:jc w:val="center"/>
      </w:pPr>
      <w:r>
        <w:rPr>
          <w:rFonts w:ascii="Times New Roman" w:hAnsi="Times New Roman"/>
          <w:color w:val="000000"/>
          <w:sz w:val="20"/>
        </w:rPr>
        <w:t>IV. Conclusion</w:t>
      </w:r>
    </w:p>
    <w:bookmarkEnd w:id="51"/>
    <w:p>
      <w:pPr>
        <w:spacing w:before="200" w:after="0" w:line="275" w:lineRule="atLeast"/>
        <w:jc w:val="both"/>
      </w:pPr>
      <w:r>
        <w:rPr>
          <w:rFonts w:ascii="Times New Roman" w:hAnsi="Times New Roman"/>
          <w:color w:val="000000"/>
          <w:sz w:val="20"/>
        </w:rPr>
        <w:t>¶ 36 The Commission's order denying Petitioners' petition for rulemaking and the district court's order on appeal are reversed, and the case is remanded to the district court to return it to the Commission for further proceedings consistent with this opinion.</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145">
        <w:r>
          <w:rPr>
            <w:rFonts w:ascii="Times New Roman" w:hAnsi="Times New Roman"/>
            <w:color w:val="000000"/>
            <w:sz w:val="20"/>
          </w:rPr>
          <w:t>Vogt</w:t>
        </w:r>
      </w:hyperlink>
      <w:bookmarkStart w:id="52" w:name="co_fnRef_B00072041293414_ID0EVNBG_1"/>
      <w:hyperlink w:anchor="co_footnote_B00072041293414_1">
        <w:r>
          <w:rPr>
            <w:rFonts w:ascii="Times New Roman" w:hAnsi="Times New Roman"/>
            <w:color w:val="000000"/>
            <w:sz w:val="16"/>
            <w:vertAlign w:val="superscript"/>
          </w:rPr>
          <w:t>*</w:t>
        </w:r>
      </w:hyperlink>
      <w:bookmarkEnd w:id="52"/>
      <w:r>
        <w:rPr>
          <w:rFonts w:ascii="Times New Roman" w:hAnsi="Times New Roman"/>
          <w:color w:val="000000"/>
          <w:sz w:val="20"/>
        </w:rPr>
        <w:t>, J., concurs</w:t>
      </w:r>
    </w:p>
    <w:p>
      <w:pPr>
        <w:spacing w:before="200" w:after="0" w:line="275" w:lineRule="atLeast"/>
        <w:jc w:val="both"/>
      </w:pPr>
      <w:hyperlink r:id="r146">
        <w:r>
          <w:rPr>
            <w:rFonts w:ascii="Times New Roman" w:hAnsi="Times New Roman"/>
            <w:color w:val="000000"/>
            <w:sz w:val="20"/>
          </w:rPr>
          <w:t>Booras</w:t>
        </w:r>
      </w:hyperlink>
      <w:r>
        <w:rPr>
          <w:rFonts w:ascii="Times New Roman" w:hAnsi="Times New Roman"/>
          <w:color w:val="000000"/>
          <w:sz w:val="20"/>
        </w:rPr>
        <w:t>, J., dissents</w:t>
      </w:r>
    </w:p>
    <w:bookmarkStart w:id="53" w:name="co_dissent_opinion_1"/>
    <w:bookmarkStart w:id="54" w:name="co_anchor_I7f3f3451cdfd11ea9f81bd68db15"/>
    <w:p>
      <w:pPr>
        <w:spacing w:before="400" w:after="0" w:line="275" w:lineRule="atLeast"/>
      </w:pPr>
      <w:r>
        <w:rPr>
          <w:rFonts w:ascii="Times New Roman" w:hAnsi="Times New Roman"/>
          <w:color w:val="000000"/>
          <w:sz w:val="20"/>
        </w:rPr>
        <w:t xml:space="preserve">JUDGE </w:t>
      </w:r>
      <w:hyperlink r:id="r147">
        <w:r>
          <w:rPr>
            <w:rFonts w:ascii="Times New Roman" w:hAnsi="Times New Roman"/>
            <w:color w:val="000000"/>
            <w:sz w:val="20"/>
          </w:rPr>
          <w:t>BOORAS</w:t>
        </w:r>
      </w:hyperlink>
      <w:r>
        <w:rPr>
          <w:rFonts w:ascii="Times New Roman" w:hAnsi="Times New Roman"/>
          <w:color w:val="000000"/>
          <w:sz w:val="20"/>
        </w:rPr>
        <w:t>, dissenting.</w:t>
      </w:r>
    </w:p>
    <w:bookmarkEnd w:id="54"/>
    <w:bookmarkEnd w:id="53"/>
    <w:bookmarkStart w:id="55" w:name="co_anchor_I7f3f3451cdfd11ea9f81bd68d2"/>
    <w:p>
      <w:pPr>
        <w:spacing w:before="0" w:after="0" w:line="275" w:lineRule="atLeast"/>
        <w:jc w:val="both"/>
      </w:pPr>
      <w:r>
        <w:rPr>
          <w:rFonts w:ascii="Times New Roman" w:hAnsi="Times New Roman"/>
          <w:color w:val="000000"/>
          <w:sz w:val="20"/>
        </w:rPr>
        <w:t xml:space="preserve">¶ 37 I disagree with the majority's interpretation of the phrase “in a manner consistent with” and its reliance on a legislative declaration to find a mandatory duty. Therefore, I respectfully dissent from the majority's conclusion that the statutory scheme of the Oil and Gas Conservation Act (the Act), </w:t>
      </w:r>
      <w:hyperlink r:id="r148">
        <w:r>
          <w:rPr>
            <w:rFonts w:ascii="Times New Roman" w:hAnsi="Times New Roman"/>
            <w:color w:val="000000"/>
            <w:sz w:val="20"/>
          </w:rPr>
          <w:t>§§ 34-60-101</w:t>
        </w:r>
      </w:hyperlink>
      <w:r>
        <w:rPr>
          <w:rFonts w:ascii="Times New Roman" w:hAnsi="Times New Roman"/>
          <w:color w:val="000000"/>
          <w:sz w:val="20"/>
        </w:rPr>
        <w:t xml:space="preserve"> to -</w:t>
      </w:r>
      <w:hyperlink r:id="r149">
        <w:r>
          <w:rPr>
            <w:rFonts w:ascii="Times New Roman" w:hAnsi="Times New Roman"/>
            <w:color w:val="000000"/>
            <w:sz w:val="20"/>
          </w:rPr>
          <w:t>130, C.R.S. 2016</w:t>
        </w:r>
      </w:hyperlink>
      <w:r>
        <w:rPr>
          <w:rFonts w:ascii="Times New Roman" w:hAnsi="Times New Roman"/>
          <w:color w:val="000000"/>
          <w:sz w:val="20"/>
        </w:rPr>
        <w:t>, requires protection of public health, safety, and welfare as a determinative factor, instead of requiring balancing between those considerations and oil and gas production.</w:t>
      </w:r>
    </w:p>
    <w:bookmarkEnd w:id="55"/>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38 The Colorado Oil and Gas Commission (the Commission) discerns that its role under the Act is to balance oil and gas development with other public interests. “Courts may only disregard an agency's interpretation of a statute it is charged with enforcing when that interpretation is inconsistent with the clear language of the statute or the agency has exceeded the scope of the statute.” </w:t>
      </w:r>
      <w:hyperlink r:id="r150">
        <w:r>
          <w:rPr>
            <w:rFonts w:ascii="Times New Roman" w:hAnsi="Times New Roman"/>
            <w:i/>
            <w:color w:val="000000"/>
            <w:sz w:val="20"/>
          </w:rPr>
          <w:t>Huber v. Kenna</w:t>
        </w:r>
        <w:r>
          <w:rPr>
            <w:rFonts w:ascii="Times New Roman" w:hAnsi="Times New Roman"/>
            <w:color w:val="000000"/>
            <w:sz w:val="20"/>
          </w:rPr>
          <w:t>, 205 P.3d 1158, 1164 (Colo. 2009)</w:t>
        </w:r>
      </w:hyperlink>
      <w:r>
        <w:rPr>
          <w:rFonts w:ascii="Times New Roman" w:hAnsi="Times New Roman"/>
          <w:color w:val="000000"/>
          <w:sz w:val="20"/>
        </w:rPr>
        <w:t xml:space="preserve"> (citing </w:t>
      </w:r>
      <w:hyperlink r:id="r151">
        <w:r>
          <w:rPr>
            <w:rFonts w:ascii="Times New Roman" w:hAnsi="Times New Roman"/>
            <w:color w:val="000000"/>
            <w:sz w:val="30"/>
          </w:rPr>
          <w:drawing>
            <wp:inline>
              <wp:extent cx="161925" cy="161925"/>
              <wp:docPr id="57" name="Picture 3"/>
              <a:graphic>
                <a:graphicData uri="http://schemas.openxmlformats.org/drawingml/2006/picture">
                  <p:pic>
                    <p:nvPicPr>
                      <p:cNvPr id="58" name="Picture 3"/>
                      <p:cNvPicPr/>
                    </p:nvPicPr>
                    <p:blipFill>
                      <a:blip r:embed="r55"/>
                      <a:srcRect/>
                      <a:stretch>
                        <a:fillRect/>
                      </a:stretch>
                    </p:blipFill>
                    <p:spPr>
                      <a:xfrm>
                        <a:off x="0" y="0"/>
                        <a:ext cx="161925" cy="161925"/>
                      </a:xfrm>
                      <a:prstGeom prst="rect"/>
                    </p:spPr>
                  </p:pic>
                </a:graphicData>
              </a:graphic>
            </wp:inline>
          </w:drawing>
        </w:r>
      </w:hyperlink>
      <w:hyperlink r:id="r152">
        <w:r>
          <w:rPr>
            <w:rFonts w:ascii="Times New Roman" w:hAnsi="Times New Roman"/>
            <w:i/>
            <w:color w:val="000000"/>
            <w:sz w:val="20"/>
          </w:rPr>
          <w:t>Chevron, U.S.A., Inc. v. Nat. Res. Def. Council, Inc.</w:t>
        </w:r>
        <w:r>
          <w:rPr>
            <w:rFonts w:ascii="Times New Roman" w:hAnsi="Times New Roman"/>
            <w:color w:val="000000"/>
            <w:sz w:val="20"/>
          </w:rPr>
          <w:t>, 467 U.S. 837, 844, 104 S.Ct. 2778, 81 L.Ed.2d 694 (1984)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39 The majority concludes that the Commission's interpretation of the Act is inconsistent with the clear language of the Act, in particular </w:t>
      </w:r>
      <w:hyperlink r:id="r153">
        <w:r>
          <w:rPr>
            <w:rFonts w:ascii="Times New Roman" w:hAnsi="Times New Roman"/>
            <w:color w:val="000000"/>
            <w:sz w:val="20"/>
          </w:rPr>
          <w:t>section 34-60-102(1)(a)(I), C.R.S. 2016</w:t>
        </w:r>
      </w:hyperlink>
      <w:r>
        <w:rPr>
          <w:rFonts w:ascii="Times New Roman" w:hAnsi="Times New Roman"/>
          <w:color w:val="000000"/>
          <w:sz w:val="20"/>
        </w:rPr>
        <w:t>, which provides that it is in the public interest to:</w:t>
      </w:r>
    </w:p>
    <w:p>
      <w:pPr>
        <w:spacing w:before="200" w:after="0" w:line="275" w:lineRule="atLeast"/>
        <w:ind w:left="480" w:right="480" w:firstLine="0"/>
        <w:jc w:val="both"/>
      </w:pPr>
      <w:r>
        <w:rPr>
          <w:rFonts w:ascii="Times New Roman" w:hAnsi="Times New Roman"/>
          <w:color w:val="000000"/>
          <w:sz w:val="20"/>
        </w:rPr>
        <w:t>Foster the responsible, balanced development, production, and utilization of the natural resources of oil and gas in the state of Colorado in a manner consistent with protection of public health, safety, and welfare, including protection of the environment and wildlife resources.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40 In order to reach this conclusion, the majority examines the use of the phrase “in a manner consistent with” in a number of unrelated contexts, largely relying on remand language from opinions, and surmises that it does not indicate “balancing,” but rather “a condition that must be fulfilled” or “subject to.” But </w:t>
      </w:r>
      <w:r>
        <w:rPr>
          <w:rFonts w:ascii="Times New Roman" w:hAnsi="Times New Roman"/>
          <w:i/>
          <w:color w:val="000000"/>
          <w:sz w:val="20"/>
        </w:rPr>
        <w:t>Webster's Third New International Dictionary</w:t>
      </w:r>
      <w:r>
        <w:rPr>
          <w:rFonts w:ascii="Times New Roman" w:hAnsi="Times New Roman"/>
          <w:color w:val="000000"/>
          <w:sz w:val="20"/>
        </w:rPr>
        <w:t xml:space="preserve"> defines “consistent with” as “to </w:t>
      </w:r>
      <w:bookmarkStart w:id="56" w:name="co_pp_sp_4645_697_1"/>
      <w:r>
        <w:rPr>
          <w:rFonts w:ascii="Times New Roman" w:hAnsi="Times New Roman"/>
          <w:b/>
          <w:color w:val="000000"/>
          <w:sz w:val="20"/>
        </w:rPr>
        <w:t>*697</w:t>
      </w:r>
      <w:bookmarkEnd w:id="56"/>
      <w:r>
        <w:rPr>
          <w:rFonts w:ascii="Times New Roman" w:hAnsi="Times New Roman"/>
          <w:color w:val="000000"/>
          <w:sz w:val="20"/>
        </w:rPr>
        <w:t xml:space="preserve"> be consistent, harmonious, or in accordance,” and “consistently” as “compatibly,” “congruously,” “in harmony with,” and “in a persistent or even manner.”</w:t>
      </w:r>
      <w:bookmarkStart w:id="57" w:name="co_fnRef_B00082041293414_ID0EGUBG_1"/>
      <w:hyperlink w:anchor="co_footnote_B00082041293414_1">
        <w:r>
          <w:rPr>
            <w:rFonts w:ascii="Times New Roman" w:hAnsi="Times New Roman"/>
            <w:color w:val="000000"/>
            <w:sz w:val="16"/>
            <w:vertAlign w:val="superscript"/>
          </w:rPr>
          <w:t>1</w:t>
        </w:r>
      </w:hyperlink>
      <w:bookmarkEnd w:id="57"/>
      <w:r>
        <w:rPr>
          <w:rFonts w:ascii="Times New Roman" w:hAnsi="Times New Roman"/>
          <w:color w:val="000000"/>
          <w:sz w:val="20"/>
        </w:rPr>
        <w:t xml:space="preserve"> </w:t>
      </w:r>
      <w:r>
        <w:rPr>
          <w:rFonts w:ascii="Times New Roman" w:hAnsi="Times New Roman"/>
          <w:i/>
          <w:color w:val="000000"/>
          <w:sz w:val="20"/>
        </w:rPr>
        <w:t>Webster's Third New International Dictionary Unabridged</w:t>
      </w:r>
      <w:r>
        <w:rPr>
          <w:rFonts w:ascii="Times New Roman" w:hAnsi="Times New Roman"/>
          <w:color w:val="000000"/>
          <w:sz w:val="20"/>
        </w:rPr>
        <w:t xml:space="preserve"> 484 (2002). Contrary to the majority's supposition, these definitions signify a balancing process.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41 Significantly, the language on which the majority primarily relies to support its view that protection of public health, safety, and welfare is a mandatory precondition is located in the legislative declaration to the Act. Even when codified, a legislative declaration is primarily “an explicit or formal statement or announcement about the legislation” that “indicates the problem the General Assembly is trying to address.” </w:t>
      </w:r>
      <w:hyperlink r:id="r154">
        <w:r>
          <w:rPr>
            <w:rFonts w:ascii="Times New Roman" w:hAnsi="Times New Roman"/>
            <w:i/>
            <w:color w:val="000000"/>
            <w:sz w:val="20"/>
          </w:rPr>
          <w:t>Lester v. Career Bldg. Acad.</w:t>
        </w:r>
        <w:r>
          <w:rPr>
            <w:rFonts w:ascii="Times New Roman" w:hAnsi="Times New Roman"/>
            <w:color w:val="000000"/>
            <w:sz w:val="20"/>
          </w:rPr>
          <w:t>, 2014 COA 88, ¶ 27, 338 P.3d 1054</w:t>
        </w:r>
      </w:hyperlink>
      <w:r>
        <w:rPr>
          <w:rFonts w:ascii="Times New Roman" w:hAnsi="Times New Roman"/>
          <w:color w:val="000000"/>
          <w:sz w:val="20"/>
        </w:rPr>
        <w:t xml:space="preserve"> (citation omitted). Generally, a legislative declaration is used only to interpret a statute that is ambiguous; it cannot override the language of a statute. </w:t>
      </w:r>
      <w:r>
        <w:rPr>
          <w:rFonts w:ascii="Times New Roman" w:hAnsi="Times New Roman"/>
          <w:i/>
          <w:color w:val="000000"/>
          <w:sz w:val="20"/>
        </w:rPr>
        <w:t>See</w:t>
      </w:r>
      <w:r>
        <w:rPr>
          <w:rFonts w:ascii="Times New Roman" w:hAnsi="Times New Roman"/>
          <w:color w:val="000000"/>
          <w:sz w:val="20"/>
        </w:rPr>
        <w:t xml:space="preserve"> </w:t>
      </w:r>
      <w:hyperlink r:id="r155">
        <w:r>
          <w:rPr>
            <w:rFonts w:ascii="Times New Roman" w:hAnsi="Times New Roman"/>
            <w:color w:val="000000"/>
            <w:sz w:val="20"/>
          </w:rPr>
          <w:t>§ 2-4-203(1)(g), C.R.S. 2016</w:t>
        </w:r>
      </w:hyperlink>
      <w:r>
        <w:rPr>
          <w:rFonts w:ascii="Times New Roman" w:hAnsi="Times New Roman"/>
          <w:color w:val="000000"/>
          <w:sz w:val="20"/>
        </w:rPr>
        <w:t xml:space="preserve"> (identifying the legislative declaration or purpose as an aid in construing ambiguous statutes); </w:t>
      </w:r>
      <w:hyperlink r:id="r156">
        <w:r>
          <w:rPr>
            <w:rFonts w:ascii="Times New Roman" w:hAnsi="Times New Roman"/>
            <w:i/>
            <w:color w:val="000000"/>
            <w:sz w:val="20"/>
          </w:rPr>
          <w:t>People in Interest of T.B.</w:t>
        </w:r>
        <w:r>
          <w:rPr>
            <w:rFonts w:ascii="Times New Roman" w:hAnsi="Times New Roman"/>
            <w:color w:val="000000"/>
            <w:sz w:val="20"/>
          </w:rPr>
          <w:t>, 2016 COA 151M, ¶¶ 41, 42</w:t>
        </w:r>
      </w:hyperlink>
      <w:r>
        <w:rPr>
          <w:rFonts w:ascii="Times New Roman" w:hAnsi="Times New Roman"/>
          <w:color w:val="000000"/>
          <w:sz w:val="20"/>
        </w:rPr>
        <w:t xml:space="preserve">, as modified on denial of reh'g (Dec. 29, 2016) (noting that courts generally do not consider a legislative declaration where a statute is unambiguous and that a legislative declaration cannot override a statute's language); </w:t>
      </w:r>
      <w:r>
        <w:rPr>
          <w:rFonts w:ascii="Times New Roman" w:hAnsi="Times New Roman"/>
          <w:i/>
          <w:color w:val="000000"/>
          <w:sz w:val="20"/>
        </w:rPr>
        <w:t xml:space="preserve">see also </w:t>
      </w:r>
      <w:hyperlink r:id="r157">
        <w:r>
          <w:rPr>
            <w:rFonts w:ascii="Times New Roman" w:hAnsi="Times New Roman"/>
            <w:i/>
            <w:color w:val="000000"/>
            <w:sz w:val="20"/>
          </w:rPr>
          <w:t>People v. Enea</w:t>
        </w:r>
        <w:r>
          <w:rPr>
            <w:rFonts w:ascii="Times New Roman" w:hAnsi="Times New Roman"/>
            <w:color w:val="000000"/>
            <w:sz w:val="20"/>
          </w:rPr>
          <w:t>, 665 P.2d 1026, 1029 (Colo. 1983)</w:t>
        </w:r>
      </w:hyperlink>
      <w:r>
        <w:rPr>
          <w:rFonts w:ascii="Times New Roman" w:hAnsi="Times New Roman"/>
          <w:color w:val="000000"/>
          <w:sz w:val="20"/>
        </w:rPr>
        <w:t xml:space="preserve"> (rejecting the defendant's attempt to add an element to the sexual exploitation of a child statute based on language in the legislative declaration).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42 The actual authority of the Commission to regulate oil and gas is set out in </w:t>
      </w:r>
      <w:hyperlink r:id="r158">
        <w:r>
          <w:rPr>
            <w:rFonts w:ascii="Times New Roman" w:hAnsi="Times New Roman"/>
            <w:color w:val="000000"/>
            <w:sz w:val="30"/>
          </w:rPr>
          <w:drawing>
            <wp:inline>
              <wp:extent cx="161925" cy="161925"/>
              <wp:docPr id="59" name="Picture 3"/>
              <a:graphic>
                <a:graphicData uri="http://schemas.openxmlformats.org/drawingml/2006/picture">
                  <p:pic>
                    <p:nvPicPr>
                      <p:cNvPr id="60" name="Picture 3"/>
                      <p:cNvPicPr/>
                    </p:nvPicPr>
                    <p:blipFill>
                      <a:blip r:embed="r55"/>
                      <a:srcRect/>
                      <a:stretch>
                        <a:fillRect/>
                      </a:stretch>
                    </p:blipFill>
                    <p:spPr>
                      <a:xfrm>
                        <a:off x="0" y="0"/>
                        <a:ext cx="161925" cy="161925"/>
                      </a:xfrm>
                      <a:prstGeom prst="rect"/>
                    </p:spPr>
                  </p:pic>
                </a:graphicData>
              </a:graphic>
            </wp:inline>
          </w:drawing>
        </w:r>
      </w:hyperlink>
      <w:hyperlink r:id="r159">
        <w:r>
          <w:rPr>
            <w:rFonts w:ascii="Times New Roman" w:hAnsi="Times New Roman"/>
            <w:color w:val="000000"/>
            <w:sz w:val="20"/>
          </w:rPr>
          <w:t>section 34-60-106(2)(d), C.R.S</w:t>
        </w:r>
      </w:hyperlink>
      <w:r>
        <w:rPr>
          <w:rFonts w:ascii="Times New Roman" w:hAnsi="Times New Roman"/>
          <w:color w:val="000000"/>
          <w:sz w:val="20"/>
        </w:rPr>
        <w:t>. 2016:</w:t>
      </w:r>
    </w:p>
    <w:p>
      <w:pPr>
        <w:spacing w:before="200" w:after="0" w:line="275" w:lineRule="atLeast"/>
        <w:ind w:left="480" w:right="480" w:firstLine="0"/>
        <w:jc w:val="both"/>
      </w:pPr>
      <w:r>
        <w:rPr>
          <w:rFonts w:ascii="Times New Roman" w:hAnsi="Times New Roman"/>
          <w:color w:val="000000"/>
          <w:sz w:val="20"/>
        </w:rPr>
        <w:t xml:space="preserve">The commission has the authority to regulate ... [o]il and gas operations so as to prevent and mitigate significant adverse environmental impacts on any air, water, soil, or biological resource resulting from oil and gas operations to the extent necessary to protect public health, safety, and welfare, including protection of the environment and wildlife resources, </w:t>
      </w:r>
      <w:r>
        <w:rPr>
          <w:rFonts w:ascii="Times New Roman" w:hAnsi="Times New Roman"/>
          <w:i/>
          <w:color w:val="000000"/>
          <w:sz w:val="20"/>
        </w:rPr>
        <w:t>taking into consideration cost-effectiveness and technical feasibility.</w:t>
      </w:r>
    </w:p>
    <w:p>
      <w:pPr>
        <w:spacing w:before="200" w:after="0" w:line="275" w:lineRule="atLeast"/>
        <w:jc w:val="both"/>
      </w:pPr>
      <w:r>
        <w:rPr>
          <w:rFonts w:ascii="Times New Roman" w:hAnsi="Times New Roman"/>
          <w:color w:val="000000"/>
          <w:sz w:val="20"/>
        </w:rPr>
        <w:t>(Emphasis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43 The majority concludes that this section also supports its view, construing the use of “to the extent necessary” as evidencing “a similar intent to elevate the importance of public health, safety, and welfare above a mere balancing.” However, the statute, read as a whole, directs the Commission to “prevent and mitigate significant adverse environmental impacts,” and also to take into consideration “cost-effectiveness and technical feasibility.” There would be no reason to consider cost-effectiveness and technical feasibility if protection of the public health, safety, and welfare was, by itself, a determinative consideration.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44 Because the Commission is required by statute to regulate oil and gas operations by balancing the relevant considerations, the Commission properly denied Petitioners' petition for rulemaking, which would have required the Commission to view public health and environmental considerations as being determinative. The majority characterizes this denial as a “refusal to engage in the rulemaking process.” The majority may be focusing on the use of the word “jurisdiction” in the Commission's order.</w:t>
      </w:r>
      <w:bookmarkStart w:id="58" w:name="co_fnRef_B00092041293414_ID0EV3BG_1"/>
      <w:hyperlink w:anchor="co_footnote_B00092041293414_1">
        <w:r>
          <w:rPr>
            <w:rFonts w:ascii="Times New Roman" w:hAnsi="Times New Roman"/>
            <w:color w:val="000000"/>
            <w:sz w:val="16"/>
            <w:vertAlign w:val="superscript"/>
          </w:rPr>
          <w:t>2</w:t>
        </w:r>
      </w:hyperlink>
      <w:bookmarkEnd w:id="58"/>
      <w:r>
        <w:rPr>
          <w:rFonts w:ascii="Times New Roman" w:hAnsi="Times New Roman"/>
          <w:color w:val="000000"/>
          <w:sz w:val="20"/>
        </w:rPr>
        <w:t xml:space="preserve"> However, a careful reading of the order reveals that the Commission deemed the proposed rulemaking to be outside its statutory authority, not outside of its jurisdiction.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45 Even Petitioners conceded in the district court that the Commission “did not claim that it doesn't have the jurisdiction to promulgate a rule,” but rather that it did not have the authority under the statute to promulgate the rule Petitioners were requesting—to view health and environmental concerns </w:t>
      </w:r>
      <w:bookmarkStart w:id="59" w:name="co_pp_sp_4645_698_1"/>
      <w:r>
        <w:rPr>
          <w:rFonts w:ascii="Times New Roman" w:hAnsi="Times New Roman"/>
          <w:b/>
          <w:color w:val="000000"/>
          <w:sz w:val="20"/>
        </w:rPr>
        <w:t>*698</w:t>
      </w:r>
      <w:bookmarkEnd w:id="59"/>
      <w:r>
        <w:rPr>
          <w:rFonts w:ascii="Times New Roman" w:hAnsi="Times New Roman"/>
          <w:color w:val="000000"/>
          <w:sz w:val="20"/>
        </w:rPr>
        <w:t xml:space="preserve"> as overriding. Indeed, as discussed above, the Commission's interpretation that the statute requires a balancing of interests is correct.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46 The Commission has consistently recognized its duty to balance health and environmental concerns with the promotion of oil and gas development. Our supreme court noted in </w:t>
      </w:r>
      <w:hyperlink r:id="r160">
        <w:r>
          <w:rPr>
            <w:rFonts w:ascii="Times New Roman" w:hAnsi="Times New Roman"/>
            <w:i/>
            <w:color w:val="000000"/>
            <w:sz w:val="20"/>
          </w:rPr>
          <w:t>City of Fort Collins v. Colorado Oil &amp; Gas Association</w:t>
        </w:r>
        <w:r>
          <w:rPr>
            <w:rFonts w:ascii="Times New Roman" w:hAnsi="Times New Roman"/>
            <w:color w:val="000000"/>
            <w:sz w:val="20"/>
          </w:rPr>
          <w:t>, 2016 CO 28, ¶ 29, 369 P.3d 586</w:t>
        </w:r>
      </w:hyperlink>
      <w:r>
        <w:rPr>
          <w:rFonts w:ascii="Times New Roman" w:hAnsi="Times New Roman"/>
          <w:color w:val="000000"/>
          <w:sz w:val="20"/>
        </w:rPr>
        <w:t>, that, consistent with its legislative authorization, “the Commission has promulgated an exhaustive set of rules and regulations ‘to prevent waste and to conserve oil and gas in the State of Colorado while protecting public health, safety, and welfare.’ Dep't of Nat. Res. Reg. 201, 2 [Code Colo.] Regs. 404–1 (2015).”</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47 For these reasons, I would affirm the district court's order upholding the Commission's order denying Petitioners' petition for rulemaking. In concluding that the district court order should be affirmed, I would also reject the Petitioners' constitutional arguments based on the public trust doctrine and that the Commission's interpretation of the Act is an unconstitutional infringement of Petitioners' natural rights to enjoy their lives and liberties, protect their property, and obtain their safety and happiness. The Colorado Supreme Court declined to apply the public trust doctrine in </w:t>
      </w:r>
      <w:hyperlink r:id="r161">
        <w:r>
          <w:rPr>
            <w:rFonts w:ascii="Times New Roman" w:hAnsi="Times New Roman"/>
            <w:i/>
            <w:color w:val="000000"/>
            <w:sz w:val="20"/>
          </w:rPr>
          <w:t>City of Longmont v. Colorado Oil &amp; Gas Association</w:t>
        </w:r>
        <w:r>
          <w:rPr>
            <w:rFonts w:ascii="Times New Roman" w:hAnsi="Times New Roman"/>
            <w:color w:val="000000"/>
            <w:sz w:val="20"/>
          </w:rPr>
          <w:t>, 2016 CO 29, ¶ 62, 369 P.3d 573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60" w:name="co_allCitations_1"/>
    <w:p>
      <w:pPr>
        <w:keepNext/>
        <w:keepLines/>
        <w:spacing w:before="200" w:after="0" w:line="275" w:lineRule="atLeast"/>
        <w:jc w:val="both"/>
      </w:pPr>
      <w:r>
        <w:rPr>
          <w:rFonts w:ascii="Times New Roman" w:hAnsi="Times New Roman"/>
          <w:b/>
          <w:color w:val="212121"/>
          <w:sz w:val="20"/>
        </w:rPr>
        <w:t>All Citations</w:t>
      </w:r>
    </w:p>
    <w:bookmarkEnd w:id="60"/>
    <w:p>
      <w:pPr>
        <w:spacing w:before="200" w:after="0" w:line="275" w:lineRule="atLeast"/>
        <w:jc w:val="both"/>
      </w:pPr>
      <w:r>
        <w:rPr>
          <w:rFonts w:ascii="Times New Roman" w:hAnsi="Times New Roman"/>
          <w:color w:val="000000"/>
          <w:sz w:val="20"/>
        </w:rPr>
        <w:t>434 P.3d 689, 2017 COA 37</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61" w:name="co_footnote_B00072041293414_1"/>
            <w:hyperlink w:anchor="co_fnRef_B00072041293414_ID0EVNBG_1">
              <w:r>
                <w:rPr>
                  <w:rFonts w:ascii="Times New Roman" w:hAnsi="Times New Roman"/>
                  <w:color w:val="000000"/>
                  <w:sz w:val="20"/>
                  <w:vertAlign w:val="superscript"/>
                </w:rPr>
                <w:t>*</w:t>
              </w:r>
            </w:hyperlink>
            <w:bookmarkEnd w:id="61"/>
          </w:p>
        </w:tc>
        <w:tc>
          <w:tcPr>
            <w:vAlign w:val="top"/>
          </w:tcPr>
          <w:p>
            <w:pPr>
              <w:spacing w:before="0" w:after="0" w:line="275" w:lineRule="atLeast"/>
              <w:jc w:val="both"/>
            </w:pPr>
            <w:r>
              <w:rPr>
                <w:rFonts w:ascii="Times New Roman" w:hAnsi="Times New Roman"/>
                <w:color w:val="000000"/>
                <w:sz w:val="20"/>
              </w:rPr>
              <w:t xml:space="preserve">Sitting by assignment of the Chief Justice under provisions of </w:t>
            </w:r>
            <w:hyperlink r:id="r162">
              <w:r>
                <w:rPr>
                  <w:rFonts w:ascii="Times New Roman" w:hAnsi="Times New Roman"/>
                  <w:color w:val="000000"/>
                  <w:sz w:val="20"/>
                </w:rPr>
                <w:t>Colo. Const. art. VI, § 5</w:t>
              </w:r>
            </w:hyperlink>
            <w:r>
              <w:rPr>
                <w:rFonts w:ascii="Times New Roman" w:hAnsi="Times New Roman"/>
                <w:color w:val="000000"/>
                <w:sz w:val="20"/>
              </w:rPr>
              <w:t xml:space="preserve">(3), and </w:t>
            </w:r>
            <w:hyperlink r:id="r163">
              <w:r>
                <w:rPr>
                  <w:rFonts w:ascii="Times New Roman" w:hAnsi="Times New Roman"/>
                  <w:color w:val="000000"/>
                  <w:sz w:val="20"/>
                </w:rPr>
                <w:t>§ 24-51-1105, C.R.S. 2016</w:t>
              </w:r>
            </w:hyperlink>
            <w:r>
              <w:rPr>
                <w:rFonts w:ascii="Times New Roman" w:hAnsi="Times New Roman"/>
                <w:color w:val="000000"/>
                <w:sz w:val="20"/>
              </w:rPr>
              <w:t>.</w:t>
            </w:r>
          </w:p>
        </w:tc>
      </w:tr>
      <w:tr>
        <w:tblPrEx/>
        <w:trPr/>
        <w:tc>
          <w:tcPr>
            <w:vAlign w:val="top"/>
          </w:tcPr>
          <w:p>
            <w:pPr>
              <w:spacing w:before="0" w:after="0" w:line="275" w:lineRule="atLeast"/>
            </w:pPr>
            <w:bookmarkStart w:id="62" w:name="co_footnote_B00012041293414_1"/>
            <w:hyperlink w:anchor="co_fnRef_B00012041293414_ID0EZFAE_1">
              <w:r>
                <w:rPr>
                  <w:rFonts w:ascii="Times New Roman" w:hAnsi="Times New Roman"/>
                  <w:color w:val="000000"/>
                  <w:sz w:val="20"/>
                  <w:vertAlign w:val="superscript"/>
                </w:rPr>
                <w:t>1</w:t>
              </w:r>
            </w:hyperlink>
            <w:bookmarkEnd w:id="62"/>
          </w:p>
        </w:tc>
        <w:tc>
          <w:tcPr>
            <w:vAlign w:val="top"/>
          </w:tcPr>
          <w:p>
            <w:pPr>
              <w:spacing w:before="0" w:after="0" w:line="275" w:lineRule="atLeast"/>
              <w:jc w:val="both"/>
            </w:pPr>
            <w:r>
              <w:rPr>
                <w:rFonts w:ascii="Times New Roman" w:hAnsi="Times New Roman"/>
                <w:color w:val="000000"/>
                <w:sz w:val="20"/>
              </w:rPr>
              <w:t>The Colorado Department of Public Health and Environment filed an amicus brief in support of the Commission. Colorado Chapter Global Catholic Climate Movement, 350 Colorado, Eco-Justice Ministries, Denver Catholic Network and Global Climate Movement, The Rocky Mountain Peace and Justice Center, Wall of Women Colorado, Colorado People's Alliance, Citizens for a Healthy Fort Collins, Transition Fort Collins, The Fort Collins Sustainability Group, Citizens for a Healthy Community, Be the Change, The Colorado Coalition for a Livable Climate, Clean Energy Action, The Climate Culture Collaborative, Co-Op Members Alliance, The Community for Sustainable Energy, Eco Elders, Vibrant Planet, EnergyShouldBe.org, Frack Free Colorado, Lakewood Renewable Energy Lakewood, North Metro Neighbors for Safe Energy, and Protect Our Loveland joined and filed an amici brief in support of Petitioners. Our Health, Our Future, Our Longmont; Sierra Club; Earthworks; and Food &amp; Water Watch joined and filed a separate amici brief in support of Petitioners.</w:t>
            </w:r>
          </w:p>
        </w:tc>
      </w:tr>
      <w:tr>
        <w:tblPrEx/>
        <w:trPr/>
        <w:tc>
          <w:tcPr>
            <w:vAlign w:val="top"/>
          </w:tcPr>
          <w:p>
            <w:pPr>
              <w:spacing w:before="0" w:after="0" w:line="275" w:lineRule="atLeast"/>
            </w:pPr>
            <w:bookmarkStart w:id="63" w:name="co_footnote_B00022041293414_1"/>
            <w:hyperlink w:anchor="co_fnRef_B00022041293414_ID0EEMAE_1">
              <w:r>
                <w:rPr>
                  <w:rFonts w:ascii="Times New Roman" w:hAnsi="Times New Roman"/>
                  <w:color w:val="000000"/>
                  <w:sz w:val="20"/>
                  <w:vertAlign w:val="superscript"/>
                </w:rPr>
                <w:t>2</w:t>
              </w:r>
            </w:hyperlink>
            <w:bookmarkEnd w:id="63"/>
          </w:p>
        </w:tc>
        <w:tc>
          <w:tcPr>
            <w:vAlign w:val="top"/>
          </w:tcPr>
          <w:p>
            <w:pPr>
              <w:spacing w:before="0" w:after="0" w:line="275" w:lineRule="atLeast"/>
              <w:jc w:val="both"/>
            </w:pPr>
            <w:r>
              <w:rPr>
                <w:rFonts w:ascii="Times New Roman" w:hAnsi="Times New Roman"/>
                <w:color w:val="000000"/>
                <w:sz w:val="20"/>
              </w:rPr>
              <w:t xml:space="preserve">In 2016, in </w:t>
            </w:r>
            <w:hyperlink r:id="r164">
              <w:r>
                <w:rPr>
                  <w:rFonts w:ascii="Times New Roman" w:hAnsi="Times New Roman"/>
                  <w:i/>
                  <w:color w:val="000000"/>
                  <w:sz w:val="20"/>
                </w:rPr>
                <w:t>City of Longmont v. Colorado Oil and Gas Association</w:t>
              </w:r>
              <w:r>
                <w:rPr>
                  <w:rFonts w:ascii="Times New Roman" w:hAnsi="Times New Roman"/>
                  <w:color w:val="000000"/>
                  <w:sz w:val="20"/>
                </w:rPr>
                <w:t>, 2016 CO 29, 369 P.3d 573</w:t>
              </w:r>
            </w:hyperlink>
            <w:r>
              <w:rPr>
                <w:rFonts w:ascii="Times New Roman" w:hAnsi="Times New Roman"/>
                <w:color w:val="000000"/>
                <w:sz w:val="20"/>
              </w:rPr>
              <w:t xml:space="preserve">, the Colorado Supreme Court rejected the adoption of the public trust doctrine in Colorado in its more general rejection of a local moratorium on fracking which the court concluded was preempted by state law. </w:t>
            </w:r>
            <w:hyperlink r:id="r165">
              <w:r>
                <w:rPr>
                  <w:rFonts w:ascii="Times New Roman" w:hAnsi="Times New Roman"/>
                  <w:i/>
                  <w:color w:val="000000"/>
                  <w:sz w:val="20"/>
                </w:rPr>
                <w:t>Id.</w:t>
              </w:r>
              <w:r>
                <w:rPr>
                  <w:rFonts w:ascii="Times New Roman" w:hAnsi="Times New Roman"/>
                  <w:color w:val="000000"/>
                  <w:sz w:val="20"/>
                </w:rPr>
                <w:t xml:space="preserve"> at ¶ 62</w:t>
              </w:r>
            </w:hyperlink>
            <w:r>
              <w:rPr>
                <w:rFonts w:ascii="Times New Roman" w:hAnsi="Times New Roman"/>
                <w:color w:val="000000"/>
                <w:sz w:val="20"/>
              </w:rPr>
              <w:t xml:space="preserve">. Petitioners initially urged the Commission to adopt the public trust doctrine in their petition for rulemaking but do not reassert their public trust doctrine argument on appeal, nor do they contest the Commission's conclusion as it narrowly relates to the public trust doctrine in Colorado. We therefore need not address the arguments of the Commission and Intervenors that Petitioners' justifications for the proposed rule, under the public trust doctrine, were not valid. </w:t>
            </w:r>
            <w:r>
              <w:rPr>
                <w:rFonts w:ascii="Times New Roman" w:hAnsi="Times New Roman"/>
                <w:i/>
                <w:color w:val="000000"/>
                <w:sz w:val="20"/>
              </w:rPr>
              <w:t xml:space="preserve">See </w:t>
            </w:r>
            <w:hyperlink r:id="r166">
              <w:r>
                <w:rPr>
                  <w:rFonts w:ascii="Times New Roman" w:hAnsi="Times New Roman"/>
                  <w:i/>
                  <w:color w:val="000000"/>
                  <w:sz w:val="20"/>
                </w:rPr>
                <w:t>Giuliani v. Jefferson Cty. Bd. of Cty. Comm'rs</w:t>
              </w:r>
              <w:r>
                <w:rPr>
                  <w:rFonts w:ascii="Times New Roman" w:hAnsi="Times New Roman"/>
                  <w:color w:val="000000"/>
                  <w:sz w:val="20"/>
                </w:rPr>
                <w:t>, 2012 COA 190, ¶ 52, 303 P.3d 131</w:t>
              </w:r>
            </w:hyperlink>
            <w:r>
              <w:rPr>
                <w:rFonts w:ascii="Times New Roman" w:hAnsi="Times New Roman"/>
                <w:color w:val="000000"/>
                <w:sz w:val="20"/>
              </w:rPr>
              <w:t xml:space="preserve"> (claim raised in complaint but not further litigated was abandoned).</w:t>
            </w:r>
          </w:p>
        </w:tc>
      </w:tr>
      <w:tr>
        <w:tblPrEx/>
        <w:trPr/>
        <w:tc>
          <w:tcPr>
            <w:vAlign w:val="top"/>
          </w:tcPr>
          <w:p>
            <w:pPr>
              <w:spacing w:before="0" w:after="0" w:line="275" w:lineRule="atLeast"/>
            </w:pPr>
            <w:bookmarkStart w:id="64" w:name="co_footnote_B00032041293414_1"/>
            <w:hyperlink w:anchor="co_fnRef_B00032041293414_ID0EVOAE_1">
              <w:r>
                <w:rPr>
                  <w:rFonts w:ascii="Times New Roman" w:hAnsi="Times New Roman"/>
                  <w:color w:val="000000"/>
                  <w:sz w:val="20"/>
                  <w:vertAlign w:val="superscript"/>
                </w:rPr>
                <w:t>3</w:t>
              </w:r>
            </w:hyperlink>
            <w:bookmarkEnd w:id="64"/>
          </w:p>
        </w:tc>
        <w:tc>
          <w:tcPr>
            <w:vAlign w:val="top"/>
          </w:tcPr>
          <w:p>
            <w:pPr>
              <w:spacing w:before="0" w:after="0" w:line="275" w:lineRule="atLeast"/>
              <w:jc w:val="both"/>
            </w:pPr>
            <w:r>
              <w:rPr>
                <w:rFonts w:ascii="Times New Roman" w:hAnsi="Times New Roman"/>
                <w:color w:val="000000"/>
                <w:sz w:val="20"/>
              </w:rPr>
              <w:t>By relying on the memo, the Commission waived any attorney-client privilege in the memo.</w:t>
            </w:r>
          </w:p>
        </w:tc>
      </w:tr>
      <w:tr>
        <w:tblPrEx/>
        <w:trPr/>
        <w:tc>
          <w:tcPr>
            <w:vAlign w:val="top"/>
          </w:tcPr>
          <w:p>
            <w:pPr>
              <w:spacing w:before="0" w:after="0" w:line="275" w:lineRule="atLeast"/>
            </w:pPr>
            <w:bookmarkStart w:id="65" w:name="co_footnote_B00042041293414_1"/>
            <w:hyperlink w:anchor="co_fnRef_B00042041293414_ID0EWFAG_1">
              <w:r>
                <w:rPr>
                  <w:rFonts w:ascii="Times New Roman" w:hAnsi="Times New Roman"/>
                  <w:color w:val="000000"/>
                  <w:sz w:val="20"/>
                  <w:vertAlign w:val="superscript"/>
                </w:rPr>
                <w:t>4</w:t>
              </w:r>
            </w:hyperlink>
            <w:bookmarkEnd w:id="65"/>
          </w:p>
        </w:tc>
        <w:tc>
          <w:tcPr>
            <w:vAlign w:val="top"/>
          </w:tcPr>
          <w:p>
            <w:pPr>
              <w:spacing w:before="0" w:after="0" w:line="275" w:lineRule="atLeast"/>
              <w:jc w:val="both"/>
            </w:pPr>
            <w:r>
              <w:rPr>
                <w:rFonts w:ascii="Times New Roman" w:hAnsi="Times New Roman"/>
                <w:color w:val="000000"/>
                <w:sz w:val="20"/>
              </w:rPr>
              <w:t>This is demonstrated by the historical importance of the General Assembly qualifying “development, production, and utilization” with the adjective “balanced.” As further explained below, in our discussion of the Act's legislative evolution, the General Assembly sought balanced development, production, and utilization to curb unnecessary waste and to preserve the correlative rights of other potential users of natural resources such as oil and gas.</w:t>
            </w:r>
          </w:p>
        </w:tc>
      </w:tr>
      <w:tr>
        <w:tblPrEx/>
        <w:trPr/>
        <w:tc>
          <w:tcPr>
            <w:vAlign w:val="top"/>
          </w:tcPr>
          <w:p>
            <w:pPr>
              <w:spacing w:before="0" w:after="0" w:line="275" w:lineRule="atLeast"/>
            </w:pPr>
            <w:bookmarkStart w:id="66" w:name="co_footnote_B00052041293414_1"/>
            <w:hyperlink w:anchor="co_fnRef_B00052041293414_ID0EBSAG_1">
              <w:r>
                <w:rPr>
                  <w:rFonts w:ascii="Times New Roman" w:hAnsi="Times New Roman"/>
                  <w:color w:val="000000"/>
                  <w:sz w:val="20"/>
                  <w:vertAlign w:val="superscript"/>
                </w:rPr>
                <w:t>5</w:t>
              </w:r>
            </w:hyperlink>
            <w:bookmarkEnd w:id="66"/>
          </w:p>
        </w:tc>
        <w:tc>
          <w:tcPr>
            <w:vAlign w:val="top"/>
          </w:tcPr>
          <w:p>
            <w:pPr>
              <w:spacing w:before="0" w:after="0" w:line="275" w:lineRule="atLeast"/>
              <w:jc w:val="both"/>
            </w:pPr>
            <w:r>
              <w:rPr>
                <w:rFonts w:ascii="Times New Roman" w:hAnsi="Times New Roman"/>
                <w:color w:val="000000"/>
                <w:sz w:val="20"/>
              </w:rPr>
              <w:t xml:space="preserve">Moreover, the Colorado Revised Statutes contain many examples of instances where the General Assembly has articulated clear intent that a balancing test be employed, and such language is not contained in the Act. </w:t>
            </w:r>
            <w:r>
              <w:rPr>
                <w:rFonts w:ascii="Times New Roman" w:hAnsi="Times New Roman"/>
                <w:i/>
                <w:color w:val="000000"/>
                <w:sz w:val="20"/>
              </w:rPr>
              <w:t>See, e.g.</w:t>
            </w:r>
            <w:r>
              <w:rPr>
                <w:rFonts w:ascii="Times New Roman" w:hAnsi="Times New Roman"/>
                <w:color w:val="000000"/>
                <w:sz w:val="20"/>
              </w:rPr>
              <w:t xml:space="preserve">, </w:t>
            </w:r>
            <w:hyperlink r:id="r167">
              <w:r>
                <w:rPr>
                  <w:rFonts w:ascii="Times New Roman" w:hAnsi="Times New Roman"/>
                  <w:color w:val="000000"/>
                  <w:sz w:val="20"/>
                </w:rPr>
                <w:t>§ 24-91-101(2), C.R.S. 2016</w:t>
              </w:r>
            </w:hyperlink>
            <w:r>
              <w:rPr>
                <w:rFonts w:ascii="Times New Roman" w:hAnsi="Times New Roman"/>
                <w:color w:val="000000"/>
                <w:sz w:val="20"/>
              </w:rPr>
              <w:t xml:space="preserve"> (“[T]here is a substantial statewide interest in ensuring that the policy underlying the efficient expenditure of public moneys is balanced with the policy of fostering a healthy and viable construction industry.”); </w:t>
            </w:r>
            <w:hyperlink r:id="r168">
              <w:r>
                <w:rPr>
                  <w:rFonts w:ascii="Times New Roman" w:hAnsi="Times New Roman"/>
                  <w:color w:val="000000"/>
                  <w:sz w:val="20"/>
                </w:rPr>
                <w:t>§ 6-1-902(1)(c), C.R.S. 2016</w:t>
              </w:r>
            </w:hyperlink>
            <w:r>
              <w:rPr>
                <w:rFonts w:ascii="Times New Roman" w:hAnsi="Times New Roman"/>
                <w:color w:val="000000"/>
                <w:sz w:val="20"/>
              </w:rPr>
              <w:t xml:space="preserve"> (“Individuals' privacy rights and commercial freedom of speech should be balanced in a way that accommodates both the privacy of individuals and legitimate telemarketing practices[.]”). Had the General Assembly intended for a balancing test to be applied in </w:t>
            </w:r>
            <w:hyperlink r:id="r169">
              <w:r>
                <w:rPr>
                  <w:rFonts w:ascii="Times New Roman" w:hAnsi="Times New Roman"/>
                  <w:color w:val="000000"/>
                  <w:sz w:val="20"/>
                </w:rPr>
                <w:t>section 34-60-102(1)(a)(I), C.R.S. 2016</w:t>
              </w:r>
            </w:hyperlink>
            <w:r>
              <w:rPr>
                <w:rFonts w:ascii="Times New Roman" w:hAnsi="Times New Roman"/>
                <w:color w:val="000000"/>
                <w:sz w:val="20"/>
              </w:rPr>
              <w:t xml:space="preserve">, it would have explicitly said so. </w:t>
            </w:r>
            <w:r>
              <w:rPr>
                <w:rFonts w:ascii="Times New Roman" w:hAnsi="Times New Roman"/>
                <w:i/>
                <w:color w:val="000000"/>
                <w:sz w:val="20"/>
              </w:rPr>
              <w:t xml:space="preserve">See </w:t>
            </w:r>
            <w:hyperlink r:id="r170">
              <w:r>
                <w:rPr>
                  <w:rFonts w:ascii="Times New Roman" w:hAnsi="Times New Roman"/>
                  <w:color w:val="000000"/>
                  <w:sz w:val="30"/>
                </w:rPr>
                <w:drawing>
                  <wp:inline>
                    <wp:extent cx="161925" cy="161925"/>
                    <wp:docPr id="61" name="Picture 3"/>
                    <a:graphic>
                      <a:graphicData uri="http://schemas.openxmlformats.org/drawingml/2006/picture">
                        <p:pic>
                          <p:nvPicPr>
                            <p:cNvPr id="62" name="Picture 3"/>
                            <p:cNvPicPr/>
                          </p:nvPicPr>
                          <p:blipFill>
                            <a:blip r:embed="r55"/>
                            <a:srcRect/>
                            <a:stretch>
                              <a:fillRect/>
                            </a:stretch>
                          </p:blipFill>
                          <p:spPr>
                            <a:xfrm>
                              <a:off x="0" y="0"/>
                              <a:ext cx="161925" cy="161925"/>
                            </a:xfrm>
                            <a:prstGeom prst="rect"/>
                          </p:spPr>
                        </p:pic>
                      </a:graphicData>
                    </a:graphic>
                  </wp:inline>
                </w:drawing>
              </w:r>
            </w:hyperlink>
            <w:hyperlink r:id="r171">
              <w:r>
                <w:rPr>
                  <w:rFonts w:ascii="Times New Roman" w:hAnsi="Times New Roman"/>
                  <w:i/>
                  <w:color w:val="000000"/>
                  <w:sz w:val="20"/>
                </w:rPr>
                <w:t>Showpiece Homes Corp. v. Assurance Co. of Am.</w:t>
              </w:r>
              <w:r>
                <w:rPr>
                  <w:rFonts w:ascii="Times New Roman" w:hAnsi="Times New Roman"/>
                  <w:color w:val="000000"/>
                  <w:sz w:val="20"/>
                </w:rPr>
                <w:t>, 38 P.3d 47, 57 (Colo. 2001)</w:t>
              </w:r>
            </w:hyperlink>
            <w:r>
              <w:rPr>
                <w:rFonts w:ascii="Times New Roman" w:hAnsi="Times New Roman"/>
                <w:color w:val="000000"/>
                <w:sz w:val="20"/>
              </w:rPr>
              <w:t>.</w:t>
            </w:r>
          </w:p>
        </w:tc>
      </w:tr>
      <w:tr>
        <w:tblPrEx/>
        <w:trPr/>
        <w:tc>
          <w:tcPr>
            <w:vAlign w:val="top"/>
          </w:tcPr>
          <w:p>
            <w:pPr>
              <w:spacing w:before="0" w:after="0" w:line="275" w:lineRule="atLeast"/>
            </w:pPr>
            <w:bookmarkStart w:id="67" w:name="co_footnote_B00062041293414_1"/>
            <w:hyperlink w:anchor="co_fnRef_B00062041293414_ID0EPZAG_1">
              <w:r>
                <w:rPr>
                  <w:rFonts w:ascii="Times New Roman" w:hAnsi="Times New Roman"/>
                  <w:color w:val="000000"/>
                  <w:sz w:val="20"/>
                  <w:vertAlign w:val="superscript"/>
                </w:rPr>
                <w:t>6</w:t>
              </w:r>
            </w:hyperlink>
            <w:bookmarkEnd w:id="67"/>
          </w:p>
        </w:tc>
        <w:tc>
          <w:tcPr>
            <w:vAlign w:val="top"/>
          </w:tcPr>
          <w:p>
            <w:pPr>
              <w:spacing w:before="0" w:after="0" w:line="275" w:lineRule="atLeast"/>
              <w:jc w:val="both"/>
            </w:pPr>
            <w:r>
              <w:rPr>
                <w:rFonts w:ascii="Times New Roman" w:hAnsi="Times New Roman"/>
                <w:color w:val="000000"/>
                <w:sz w:val="20"/>
              </w:rPr>
              <w:t xml:space="preserve">The statutory language “to the extent necessary” evidences the General Assembly's intent to create a mandatory condition rather than a factor in a general balancing inquiry. </w:t>
            </w:r>
            <w:r>
              <w:rPr>
                <w:rFonts w:ascii="Times New Roman" w:hAnsi="Times New Roman"/>
                <w:i/>
                <w:color w:val="000000"/>
                <w:sz w:val="20"/>
              </w:rPr>
              <w:t>See, e.g.</w:t>
            </w:r>
            <w:r>
              <w:rPr>
                <w:rFonts w:ascii="Times New Roman" w:hAnsi="Times New Roman"/>
                <w:color w:val="000000"/>
                <w:sz w:val="20"/>
              </w:rPr>
              <w:t xml:space="preserve">, </w:t>
            </w:r>
            <w:hyperlink r:id="r172">
              <w:r>
                <w:rPr>
                  <w:rFonts w:ascii="Times New Roman" w:hAnsi="Times New Roman"/>
                  <w:color w:val="000000"/>
                  <w:sz w:val="30"/>
                </w:rPr>
                <w:drawing>
                  <wp:inline>
                    <wp:extent cx="161925" cy="161925"/>
                    <wp:docPr id="63" name="Picture 3"/>
                    <a:graphic>
                      <a:graphicData uri="http://schemas.openxmlformats.org/drawingml/2006/picture">
                        <p:pic>
                          <p:nvPicPr>
                            <p:cNvPr id="64" name="Picture 3"/>
                            <p:cNvPicPr/>
                          </p:nvPicPr>
                          <p:blipFill>
                            <a:blip r:embed="r55"/>
                            <a:srcRect/>
                            <a:stretch>
                              <a:fillRect/>
                            </a:stretch>
                          </p:blipFill>
                          <p:spPr>
                            <a:xfrm>
                              <a:off x="0" y="0"/>
                              <a:ext cx="161925" cy="161925"/>
                            </a:xfrm>
                            <a:prstGeom prst="rect"/>
                          </p:spPr>
                        </p:pic>
                      </a:graphicData>
                    </a:graphic>
                  </wp:inline>
                </w:drawing>
              </w:r>
            </w:hyperlink>
            <w:hyperlink r:id="r173">
              <w:r>
                <w:rPr>
                  <w:rFonts w:ascii="Times New Roman" w:hAnsi="Times New Roman"/>
                  <w:i/>
                  <w:color w:val="000000"/>
                  <w:sz w:val="20"/>
                </w:rPr>
                <w:t>Calderon v. Am. Family Mut. Ins. Co.</w:t>
              </w:r>
              <w:r>
                <w:rPr>
                  <w:rFonts w:ascii="Times New Roman" w:hAnsi="Times New Roman"/>
                  <w:color w:val="000000"/>
                  <w:sz w:val="20"/>
                </w:rPr>
                <w:t>, 2016 CO 72, ¶ 53, 383 P.3d 676</w:t>
              </w:r>
            </w:hyperlink>
            <w:r>
              <w:rPr>
                <w:rFonts w:ascii="Times New Roman" w:hAnsi="Times New Roman"/>
                <w:color w:val="000000"/>
                <w:sz w:val="20"/>
              </w:rPr>
              <w:t xml:space="preserve"> (insurance statutes intended that benefit be provided “to the extent necessary” for full compensation) (citing </w:t>
            </w:r>
            <w:hyperlink r:id="r174">
              <w:r>
                <w:rPr>
                  <w:rFonts w:ascii="Times New Roman" w:hAnsi="Times New Roman"/>
                  <w:color w:val="000000"/>
                  <w:sz w:val="30"/>
                </w:rPr>
                <w:drawing>
                  <wp:inline>
                    <wp:extent cx="161925" cy="161925"/>
                    <wp:docPr id="65" name="Picture 3"/>
                    <a:graphic>
                      <a:graphicData uri="http://schemas.openxmlformats.org/drawingml/2006/picture">
                        <p:pic>
                          <p:nvPicPr>
                            <p:cNvPr id="66" name="Picture 3"/>
                            <p:cNvPicPr/>
                          </p:nvPicPr>
                          <p:blipFill>
                            <a:blip r:embed="r55"/>
                            <a:srcRect/>
                            <a:stretch>
                              <a:fillRect/>
                            </a:stretch>
                          </p:blipFill>
                          <p:spPr>
                            <a:xfrm>
                              <a:off x="0" y="0"/>
                              <a:ext cx="161925" cy="161925"/>
                            </a:xfrm>
                            <a:prstGeom prst="rect"/>
                          </p:spPr>
                        </p:pic>
                      </a:graphicData>
                    </a:graphic>
                  </wp:inline>
                </w:drawing>
              </w:r>
            </w:hyperlink>
            <w:hyperlink r:id="r175">
              <w:r>
                <w:rPr>
                  <w:rFonts w:ascii="Times New Roman" w:hAnsi="Times New Roman"/>
                  <w:i/>
                  <w:color w:val="000000"/>
                  <w:sz w:val="20"/>
                </w:rPr>
                <w:t>Kral v. Am. Hardware Mut. Ins. Co.</w:t>
              </w:r>
              <w:r>
                <w:rPr>
                  <w:rFonts w:ascii="Times New Roman" w:hAnsi="Times New Roman"/>
                  <w:color w:val="000000"/>
                  <w:sz w:val="20"/>
                </w:rPr>
                <w:t>, 784 P.2d 759, 765 (Colo. 1989)</w:t>
              </w:r>
            </w:hyperlink>
            <w:r>
              <w:rPr>
                <w:rFonts w:ascii="Times New Roman" w:hAnsi="Times New Roman"/>
                <w:color w:val="000000"/>
                <w:sz w:val="20"/>
              </w:rPr>
              <w:t xml:space="preserve">); </w:t>
            </w:r>
            <w:hyperlink r:id="r176">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55"/>
                            <a:srcRect/>
                            <a:stretch>
                              <a:fillRect/>
                            </a:stretch>
                          </p:blipFill>
                          <p:spPr>
                            <a:xfrm>
                              <a:off x="0" y="0"/>
                              <a:ext cx="161925" cy="161925"/>
                            </a:xfrm>
                            <a:prstGeom prst="rect"/>
                          </p:spPr>
                        </p:pic>
                      </a:graphicData>
                    </a:graphic>
                  </wp:inline>
                </w:drawing>
              </w:r>
            </w:hyperlink>
            <w:hyperlink r:id="r177">
              <w:r>
                <w:rPr>
                  <w:rFonts w:ascii="Times New Roman" w:hAnsi="Times New Roman"/>
                  <w:i/>
                  <w:color w:val="000000"/>
                  <w:sz w:val="20"/>
                </w:rPr>
                <w:t>People in Interest of G.S.</w:t>
              </w:r>
              <w:r>
                <w:rPr>
                  <w:rFonts w:ascii="Times New Roman" w:hAnsi="Times New Roman"/>
                  <w:color w:val="000000"/>
                  <w:sz w:val="20"/>
                </w:rPr>
                <w:t>, 820 P.2d 1178, 1180 (Colo. App. 1991)</w:t>
              </w:r>
            </w:hyperlink>
            <w:r>
              <w:rPr>
                <w:rFonts w:ascii="Times New Roman" w:hAnsi="Times New Roman"/>
                <w:color w:val="000000"/>
                <w:sz w:val="20"/>
              </w:rPr>
              <w:t xml:space="preserve"> (a guardian ad litem has the affirmative duty to participate in proceedings “to the extent necessary” to represent the child).</w:t>
            </w:r>
          </w:p>
        </w:tc>
      </w:tr>
      <w:tr>
        <w:tblPrEx/>
        <w:trPr/>
        <w:tc>
          <w:tcPr>
            <w:vAlign w:val="top"/>
          </w:tcPr>
          <w:p>
            <w:pPr>
              <w:spacing w:before="0" w:after="0" w:line="275" w:lineRule="atLeast"/>
            </w:pPr>
            <w:bookmarkStart w:id="68" w:name="co_footnote_B00082041293414_1"/>
            <w:hyperlink w:anchor="co_fnRef_B00082041293414_ID0EGUBG_1">
              <w:r>
                <w:rPr>
                  <w:rFonts w:ascii="Times New Roman" w:hAnsi="Times New Roman"/>
                  <w:color w:val="000000"/>
                  <w:sz w:val="20"/>
                  <w:vertAlign w:val="superscript"/>
                </w:rPr>
                <w:t>1</w:t>
              </w:r>
            </w:hyperlink>
            <w:bookmarkEnd w:id="68"/>
          </w:p>
        </w:tc>
        <w:tc>
          <w:tcPr>
            <w:vAlign w:val="top"/>
          </w:tcPr>
          <w:p>
            <w:pPr>
              <w:spacing w:before="0" w:after="0" w:line="275" w:lineRule="atLeast"/>
              <w:jc w:val="both"/>
            </w:pPr>
            <w:r>
              <w:rPr>
                <w:rFonts w:ascii="Times New Roman" w:hAnsi="Times New Roman"/>
                <w:color w:val="000000"/>
                <w:sz w:val="20"/>
              </w:rPr>
              <w:t xml:space="preserve">The use of a dictionary is appropriate to interpret undefined statutory terms. </w:t>
            </w:r>
            <w:hyperlink r:id="r178">
              <w:r>
                <w:rPr>
                  <w:rFonts w:ascii="Times New Roman" w:hAnsi="Times New Roman"/>
                  <w:color w:val="000000"/>
                  <w:sz w:val="30"/>
                </w:rPr>
                <w:drawing>
                  <wp:inline>
                    <wp:extent cx="161925" cy="161925"/>
                    <wp:docPr id="69" name="Picture 3"/>
                    <a:graphic>
                      <a:graphicData uri="http://schemas.openxmlformats.org/drawingml/2006/picture">
                        <p:pic>
                          <p:nvPicPr>
                            <p:cNvPr id="70" name="Picture 3"/>
                            <p:cNvPicPr/>
                          </p:nvPicPr>
                          <p:blipFill>
                            <a:blip r:embed="r55"/>
                            <a:srcRect/>
                            <a:stretch>
                              <a:fillRect/>
                            </a:stretch>
                          </p:blipFill>
                          <p:spPr>
                            <a:xfrm>
                              <a:off x="0" y="0"/>
                              <a:ext cx="161925" cy="161925"/>
                            </a:xfrm>
                            <a:prstGeom prst="rect"/>
                          </p:spPr>
                        </p:pic>
                      </a:graphicData>
                    </a:graphic>
                  </wp:inline>
                </w:drawing>
              </w:r>
            </w:hyperlink>
            <w:hyperlink r:id="r179">
              <w:r>
                <w:rPr>
                  <w:rFonts w:ascii="Times New Roman" w:hAnsi="Times New Roman"/>
                  <w:i/>
                  <w:color w:val="000000"/>
                  <w:sz w:val="20"/>
                </w:rPr>
                <w:t>Bontrager v. La Plata Elec. Ass'n Inc.</w:t>
              </w:r>
              <w:r>
                <w:rPr>
                  <w:rFonts w:ascii="Times New Roman" w:hAnsi="Times New Roman"/>
                  <w:color w:val="000000"/>
                  <w:sz w:val="20"/>
                </w:rPr>
                <w:t>, 68 P.3d 555, 559 (Colo. App. 2003)</w:t>
              </w:r>
            </w:hyperlink>
            <w:r>
              <w:rPr>
                <w:rFonts w:ascii="Times New Roman" w:hAnsi="Times New Roman"/>
                <w:color w:val="000000"/>
                <w:sz w:val="20"/>
              </w:rPr>
              <w:t xml:space="preserve"> (citing 2A Norman J. Singer, </w:t>
            </w:r>
            <w:r>
              <w:rPr>
                <w:rFonts w:ascii="Times New Roman" w:hAnsi="Times New Roman"/>
                <w:i/>
                <w:color w:val="000000"/>
                <w:sz w:val="20"/>
              </w:rPr>
              <w:t>Sutherland on Statutory Construction</w:t>
            </w:r>
            <w:r>
              <w:rPr>
                <w:rFonts w:ascii="Times New Roman" w:hAnsi="Times New Roman"/>
                <w:color w:val="000000"/>
                <w:sz w:val="20"/>
              </w:rPr>
              <w:t xml:space="preserve"> § 47.27 (6th ed. 2000)).</w:t>
            </w:r>
          </w:p>
        </w:tc>
      </w:tr>
      <w:tr>
        <w:tblPrEx/>
        <w:trPr/>
        <w:tc>
          <w:tcPr>
            <w:vAlign w:val="top"/>
          </w:tcPr>
          <w:p>
            <w:pPr>
              <w:spacing w:before="0" w:after="0" w:line="275" w:lineRule="atLeast"/>
            </w:pPr>
            <w:bookmarkStart w:id="69" w:name="co_footnote_B00092041293414_1"/>
            <w:hyperlink w:anchor="co_fnRef_B00092041293414_ID0EV3BG_1">
              <w:r>
                <w:rPr>
                  <w:rFonts w:ascii="Times New Roman" w:hAnsi="Times New Roman"/>
                  <w:color w:val="000000"/>
                  <w:sz w:val="20"/>
                  <w:vertAlign w:val="superscript"/>
                </w:rPr>
                <w:t>2</w:t>
              </w:r>
            </w:hyperlink>
            <w:bookmarkEnd w:id="69"/>
          </w:p>
        </w:tc>
        <w:tc>
          <w:tcPr>
            <w:vAlign w:val="top"/>
          </w:tcPr>
          <w:p>
            <w:pPr>
              <w:spacing w:before="0" w:after="0" w:line="275" w:lineRule="atLeast"/>
              <w:jc w:val="both"/>
            </w:pPr>
            <w:r>
              <w:rPr>
                <w:rFonts w:ascii="Times New Roman" w:hAnsi="Times New Roman"/>
                <w:color w:val="000000"/>
                <w:sz w:val="20"/>
              </w:rPr>
              <w:t xml:space="preserve">The Commission's order primarily used the word “authority.” However, the order used the word “jurisdiction” referring to a memo that had been prepared by the Colorado Attorney General's office regarding the Colorado Department of Public Health and Environment's expertise in air quality. </w:t>
            </w:r>
            <w:r>
              <w:rPr>
                <w:rFonts w:ascii="Times New Roman" w:hAnsi="Times New Roman"/>
                <w:i/>
                <w:color w:val="000000"/>
                <w:sz w:val="20"/>
              </w:rPr>
              <w:t xml:space="preserve">See </w:t>
            </w:r>
            <w:hyperlink r:id="r180">
              <w:r>
                <w:rPr>
                  <w:rFonts w:ascii="Times New Roman" w:hAnsi="Times New Roman"/>
                  <w:color w:val="000000"/>
                  <w:sz w:val="30"/>
                </w:rPr>
                <w:drawing>
                  <wp:inline>
                    <wp:extent cx="161925" cy="161925"/>
                    <wp:docPr id="71" name="Picture 3"/>
                    <a:graphic>
                      <a:graphicData uri="http://schemas.openxmlformats.org/drawingml/2006/picture">
                        <p:pic>
                          <p:nvPicPr>
                            <p:cNvPr id="72" name="Picture 3"/>
                            <p:cNvPicPr/>
                          </p:nvPicPr>
                          <p:blipFill>
                            <a:blip r:embed="r55"/>
                            <a:srcRect/>
                            <a:stretch>
                              <a:fillRect/>
                            </a:stretch>
                          </p:blipFill>
                          <p:spPr>
                            <a:xfrm>
                              <a:off x="0" y="0"/>
                              <a:ext cx="161925" cy="161925"/>
                            </a:xfrm>
                            <a:prstGeom prst="rect"/>
                          </p:spPr>
                        </p:pic>
                      </a:graphicData>
                    </a:graphic>
                  </wp:inline>
                </w:drawing>
              </w:r>
            </w:hyperlink>
            <w:hyperlink r:id="r181">
              <w:r>
                <w:rPr>
                  <w:rFonts w:ascii="Times New Roman" w:hAnsi="Times New Roman"/>
                  <w:i/>
                  <w:color w:val="000000"/>
                  <w:sz w:val="20"/>
                </w:rPr>
                <w:t>People v. Sherrod</w:t>
              </w:r>
              <w:r>
                <w:rPr>
                  <w:rFonts w:ascii="Times New Roman" w:hAnsi="Times New Roman"/>
                  <w:color w:val="000000"/>
                  <w:sz w:val="20"/>
                </w:rPr>
                <w:t>, 204 P.3d 466, 470 (Colo. 2009)</w:t>
              </w:r>
            </w:hyperlink>
            <w:r>
              <w:rPr>
                <w:rFonts w:ascii="Times New Roman" w:hAnsi="Times New Roman"/>
                <w:color w:val="000000"/>
                <w:sz w:val="20"/>
              </w:rPr>
              <w:t xml:space="preserve"> (noting that there is sometimes “analytical confusion” between the terms “authority” and “jurisdiction”).</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73" name="Picture 0" descr="Westlaw Logo"/>
                <a:graphic>
                  <a:graphicData uri="http://schemas.openxmlformats.org/drawingml/2006/picture">
                    <p:pic>
                      <p:nvPicPr>
                        <p:cNvPr id="74"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Martinez v. Colorado Oil and Gas Conservation Commission, 434 P.3d 689 (2017)</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2017 COA 37</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